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ACEBE" w14:textId="77777777" w:rsidR="00AF565E" w:rsidRDefault="00AF565E" w:rsidP="00AF565E">
      <w:pPr>
        <w:spacing w:after="0" w:line="240" w:lineRule="auto"/>
      </w:pPr>
      <w:bookmarkStart w:id="0" w:name="_MailOriginal"/>
    </w:p>
    <w:tbl>
      <w:tblPr>
        <w:tblW w:w="0" w:type="auto"/>
        <w:tblCellMar>
          <w:left w:w="0" w:type="dxa"/>
          <w:right w:w="0" w:type="dxa"/>
        </w:tblCellMar>
        <w:tblLook w:val="04A0" w:firstRow="1" w:lastRow="0" w:firstColumn="1" w:lastColumn="0" w:noHBand="0" w:noVBand="1"/>
      </w:tblPr>
      <w:tblGrid>
        <w:gridCol w:w="2826"/>
        <w:gridCol w:w="8966"/>
      </w:tblGrid>
      <w:tr w:rsidR="00AF565E" w14:paraId="08C7ECCD" w14:textId="77777777" w:rsidTr="00AF565E">
        <w:trPr>
          <w:trHeight w:val="1256"/>
        </w:trPr>
        <w:tc>
          <w:tcPr>
            <w:tcW w:w="2465" w:type="dxa"/>
            <w:tcMar>
              <w:top w:w="0" w:type="dxa"/>
              <w:left w:w="108" w:type="dxa"/>
              <w:bottom w:w="0" w:type="dxa"/>
              <w:right w:w="108" w:type="dxa"/>
            </w:tcMar>
            <w:hideMark/>
          </w:tcPr>
          <w:p w14:paraId="361A2B1C" w14:textId="77777777" w:rsidR="00AF565E" w:rsidRDefault="00AF565E">
            <w:pPr>
              <w:spacing w:after="0" w:line="240" w:lineRule="auto"/>
              <w:rPr>
                <w:rFonts w:ascii="Tahoma" w:hAnsi="Tahoma" w:cs="Tahoma"/>
              </w:rPr>
            </w:pPr>
            <w:r>
              <w:rPr>
                <w:rFonts w:ascii="Tahoma" w:hAnsi="Tahoma" w:cs="Tahoma"/>
                <w:noProof/>
              </w:rPr>
              <w:drawing>
                <wp:inline distT="0" distB="0" distL="0" distR="0" wp14:anchorId="4CD7FF24" wp14:editId="1563E405">
                  <wp:extent cx="1653540" cy="1150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1150620"/>
                          </a:xfrm>
                          <a:prstGeom prst="rect">
                            <a:avLst/>
                          </a:prstGeom>
                          <a:noFill/>
                          <a:ln>
                            <a:noFill/>
                          </a:ln>
                        </pic:spPr>
                      </pic:pic>
                    </a:graphicData>
                  </a:graphic>
                </wp:inline>
              </w:drawing>
            </w:r>
          </w:p>
        </w:tc>
        <w:tc>
          <w:tcPr>
            <w:tcW w:w="8966" w:type="dxa"/>
            <w:tcMar>
              <w:top w:w="0" w:type="dxa"/>
              <w:left w:w="108" w:type="dxa"/>
              <w:bottom w:w="0" w:type="dxa"/>
              <w:right w:w="108" w:type="dxa"/>
            </w:tcMar>
          </w:tcPr>
          <w:p w14:paraId="24F4B414" w14:textId="77777777" w:rsidR="00AF565E" w:rsidRDefault="00AF565E">
            <w:pPr>
              <w:spacing w:after="0" w:line="240" w:lineRule="auto"/>
              <w:rPr>
                <w:rFonts w:ascii="Tahoma" w:hAnsi="Tahoma" w:cs="Tahoma"/>
                <w:b/>
                <w:bCs/>
                <w:color w:val="005596"/>
                <w:spacing w:val="20"/>
                <w:sz w:val="48"/>
                <w:szCs w:val="48"/>
              </w:rPr>
            </w:pPr>
          </w:p>
          <w:p w14:paraId="5AAD341D" w14:textId="77777777" w:rsidR="00AF565E" w:rsidRDefault="00AF565E">
            <w:pPr>
              <w:spacing w:after="0" w:line="240" w:lineRule="auto"/>
              <w:rPr>
                <w:rFonts w:ascii="Tahoma" w:hAnsi="Tahoma" w:cs="Tahoma"/>
                <w:b/>
                <w:bCs/>
                <w:color w:val="005596"/>
                <w:spacing w:val="20"/>
                <w:sz w:val="44"/>
                <w:szCs w:val="44"/>
              </w:rPr>
            </w:pPr>
            <w:r>
              <w:rPr>
                <w:rFonts w:ascii="Tahoma" w:hAnsi="Tahoma" w:cs="Tahoma"/>
                <w:b/>
                <w:bCs/>
                <w:color w:val="005596"/>
                <w:spacing w:val="20"/>
                <w:sz w:val="44"/>
                <w:szCs w:val="44"/>
              </w:rPr>
              <w:t>IGNITE EMPLOYER NEWSLETTER</w:t>
            </w:r>
          </w:p>
          <w:p w14:paraId="41B51600" w14:textId="77777777" w:rsidR="00AF565E" w:rsidRDefault="00AF565E">
            <w:pPr>
              <w:spacing w:after="0" w:line="240" w:lineRule="auto"/>
              <w:rPr>
                <w:rFonts w:ascii="Tahoma" w:hAnsi="Tahoma" w:cs="Tahoma"/>
                <w:b/>
                <w:bCs/>
                <w:spacing w:val="20"/>
              </w:rPr>
            </w:pPr>
            <w:r>
              <w:rPr>
                <w:rFonts w:ascii="Tahoma" w:hAnsi="Tahoma" w:cs="Tahoma"/>
                <w:b/>
                <w:bCs/>
                <w:spacing w:val="20"/>
              </w:rPr>
              <w:t>February 9, 2018</w:t>
            </w:r>
          </w:p>
          <w:p w14:paraId="5B19D331" w14:textId="77777777" w:rsidR="00AF565E" w:rsidRDefault="00AF565E">
            <w:pPr>
              <w:spacing w:after="0" w:line="240" w:lineRule="auto"/>
              <w:rPr>
                <w:rFonts w:ascii="Tahoma" w:hAnsi="Tahoma" w:cs="Tahoma"/>
                <w:b/>
                <w:bCs/>
                <w:spacing w:val="20"/>
              </w:rPr>
            </w:pPr>
          </w:p>
        </w:tc>
      </w:tr>
    </w:tbl>
    <w:p w14:paraId="78D41A75" w14:textId="77777777" w:rsidR="00AF565E" w:rsidRDefault="00AF565E" w:rsidP="00AF565E">
      <w:pPr>
        <w:spacing w:after="0" w:line="240" w:lineRule="auto"/>
        <w:rPr>
          <w:rFonts w:ascii="Tahoma" w:hAnsi="Tahoma" w:cs="Tahoma"/>
        </w:rPr>
      </w:pPr>
    </w:p>
    <w:p w14:paraId="7C07FE39" w14:textId="77777777" w:rsidR="00AF565E" w:rsidRDefault="00AF565E" w:rsidP="00AF565E">
      <w:pPr>
        <w:shd w:val="clear" w:color="auto" w:fill="005596"/>
        <w:spacing w:after="0" w:line="240" w:lineRule="auto"/>
        <w:jc w:val="center"/>
        <w:rPr>
          <w:rFonts w:ascii="Tahoma" w:hAnsi="Tahoma" w:cs="Tahoma"/>
          <w:b/>
          <w:bCs/>
          <w:color w:val="FFCE00"/>
        </w:rPr>
      </w:pPr>
      <w:r>
        <w:rPr>
          <w:rFonts w:ascii="Tahoma" w:hAnsi="Tahoma" w:cs="Tahoma"/>
          <w:b/>
          <w:bCs/>
          <w:color w:val="FFCE00"/>
        </w:rPr>
        <w:t>*** IMPORTANT: New Account Number for Payroll Time sheets ***</w:t>
      </w:r>
    </w:p>
    <w:p w14:paraId="59B0DD7F" w14:textId="77777777" w:rsidR="00AF565E" w:rsidRDefault="00AF565E" w:rsidP="00AF565E">
      <w:pPr>
        <w:spacing w:after="0" w:line="240" w:lineRule="auto"/>
        <w:rPr>
          <w:rFonts w:ascii="Tahoma" w:hAnsi="Tahoma" w:cs="Tahoma"/>
        </w:rPr>
      </w:pPr>
    </w:p>
    <w:p w14:paraId="712E36A9" w14:textId="77777777" w:rsidR="00AF565E" w:rsidRDefault="00AF565E" w:rsidP="00AF565E">
      <w:pPr>
        <w:spacing w:after="0" w:line="240" w:lineRule="auto"/>
        <w:rPr>
          <w:rFonts w:ascii="Tahoma" w:hAnsi="Tahoma" w:cs="Tahoma"/>
          <w:b/>
          <w:bCs/>
        </w:rPr>
      </w:pPr>
      <w:r>
        <w:rPr>
          <w:noProof/>
        </w:rPr>
        <w:drawing>
          <wp:anchor distT="0" distB="0" distL="114300" distR="114300" simplePos="0" relativeHeight="251659264" behindDoc="0" locked="0" layoutInCell="1" allowOverlap="1" wp14:anchorId="342F426C" wp14:editId="14140254">
            <wp:simplePos x="0" y="0"/>
            <wp:positionH relativeFrom="margin">
              <wp:align>left</wp:align>
            </wp:positionH>
            <wp:positionV relativeFrom="paragraph">
              <wp:posOffset>131445</wp:posOffset>
            </wp:positionV>
            <wp:extent cx="2081530" cy="16840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1530" cy="168402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rPr>
        <w:t xml:space="preserve">The launch of the new </w:t>
      </w:r>
      <w:proofErr w:type="spellStart"/>
      <w:r>
        <w:rPr>
          <w:rFonts w:ascii="Tahoma" w:hAnsi="Tahoma" w:cs="Tahoma"/>
        </w:rPr>
        <w:t>UWinsite</w:t>
      </w:r>
      <w:proofErr w:type="spellEnd"/>
      <w:r>
        <w:rPr>
          <w:rFonts w:ascii="Tahoma" w:hAnsi="Tahoma" w:cs="Tahoma"/>
        </w:rPr>
        <w:t xml:space="preserve"> Finance system has resulted in changes to the </w:t>
      </w:r>
      <w:proofErr w:type="gramStart"/>
      <w:r>
        <w:rPr>
          <w:rFonts w:ascii="Tahoma" w:hAnsi="Tahoma" w:cs="Tahoma"/>
        </w:rPr>
        <w:t>work study</w:t>
      </w:r>
      <w:proofErr w:type="gramEnd"/>
      <w:r>
        <w:rPr>
          <w:rFonts w:ascii="Tahoma" w:hAnsi="Tahoma" w:cs="Tahoma"/>
        </w:rPr>
        <w:t xml:space="preserve"> account number. Starting January 29, all time sheet and time cards submitted to Payroll need to have the new account number on them in order to be processed. The new account number for </w:t>
      </w:r>
      <w:proofErr w:type="gramStart"/>
      <w:r>
        <w:rPr>
          <w:rFonts w:ascii="Tahoma" w:hAnsi="Tahoma" w:cs="Tahoma"/>
        </w:rPr>
        <w:t>work study</w:t>
      </w:r>
      <w:proofErr w:type="gramEnd"/>
      <w:r>
        <w:rPr>
          <w:rFonts w:ascii="Tahoma" w:hAnsi="Tahoma" w:cs="Tahoma"/>
        </w:rPr>
        <w:t xml:space="preserve"> is </w:t>
      </w:r>
      <w:r>
        <w:rPr>
          <w:rFonts w:ascii="Tahoma" w:hAnsi="Tahoma" w:cs="Tahoma"/>
          <w:b/>
          <w:bCs/>
        </w:rPr>
        <w:t>01.2720.27201.000000.81520.000.00.000</w:t>
      </w:r>
    </w:p>
    <w:p w14:paraId="14F3F652" w14:textId="77777777" w:rsidR="00AF565E" w:rsidRDefault="00AF565E" w:rsidP="00AF565E">
      <w:pPr>
        <w:spacing w:after="0" w:line="240" w:lineRule="auto"/>
        <w:rPr>
          <w:rFonts w:ascii="Tahoma" w:hAnsi="Tahoma" w:cs="Tahoma"/>
          <w:b/>
          <w:bCs/>
        </w:rPr>
      </w:pPr>
    </w:p>
    <w:p w14:paraId="6E3D6441" w14:textId="77777777" w:rsidR="00AF565E" w:rsidRDefault="00AF565E" w:rsidP="00AF565E">
      <w:pPr>
        <w:spacing w:after="0" w:line="240" w:lineRule="auto"/>
        <w:rPr>
          <w:rFonts w:ascii="Tahoma" w:hAnsi="Tahoma" w:cs="Tahoma"/>
          <w:b/>
          <w:bCs/>
        </w:rPr>
      </w:pPr>
      <w:r>
        <w:rPr>
          <w:rFonts w:ascii="Tahoma" w:hAnsi="Tahoma" w:cs="Tahoma"/>
          <w:b/>
          <w:bCs/>
        </w:rPr>
        <w:t xml:space="preserve">Please use this account number on all time sheets until a new time sheet </w:t>
      </w:r>
      <w:proofErr w:type="gramStart"/>
      <w:r>
        <w:rPr>
          <w:rFonts w:ascii="Tahoma" w:hAnsi="Tahoma" w:cs="Tahoma"/>
          <w:b/>
          <w:bCs/>
        </w:rPr>
        <w:t>is made</w:t>
      </w:r>
      <w:proofErr w:type="gramEnd"/>
      <w:r>
        <w:rPr>
          <w:rFonts w:ascii="Tahoma" w:hAnsi="Tahoma" w:cs="Tahoma"/>
          <w:b/>
          <w:bCs/>
        </w:rPr>
        <w:t xml:space="preserve">. </w:t>
      </w:r>
      <w:r>
        <w:rPr>
          <w:rFonts w:ascii="Tahoma" w:hAnsi="Tahoma" w:cs="Tahoma"/>
        </w:rPr>
        <w:t>I will send it out once it is available.</w:t>
      </w:r>
    </w:p>
    <w:p w14:paraId="443C01DB" w14:textId="77777777" w:rsidR="00AF565E" w:rsidRDefault="00AF565E" w:rsidP="00AF565E">
      <w:pPr>
        <w:spacing w:after="0" w:line="240" w:lineRule="auto"/>
        <w:rPr>
          <w:rFonts w:ascii="Tahoma" w:hAnsi="Tahoma" w:cs="Tahoma"/>
          <w:b/>
          <w:bCs/>
        </w:rPr>
      </w:pPr>
    </w:p>
    <w:p w14:paraId="4D200C4B" w14:textId="77777777" w:rsidR="00AF565E" w:rsidRDefault="00AF565E" w:rsidP="00AF565E">
      <w:pPr>
        <w:spacing w:after="0" w:line="240" w:lineRule="auto"/>
        <w:rPr>
          <w:rFonts w:ascii="Tahoma" w:hAnsi="Tahoma" w:cs="Tahoma"/>
        </w:rPr>
      </w:pPr>
      <w:r>
        <w:rPr>
          <w:rFonts w:ascii="Tahoma" w:hAnsi="Tahoma" w:cs="Tahoma"/>
        </w:rPr>
        <w:t xml:space="preserve">The current </w:t>
      </w:r>
      <w:proofErr w:type="gramStart"/>
      <w:r>
        <w:rPr>
          <w:rFonts w:ascii="Tahoma" w:hAnsi="Tahoma" w:cs="Tahoma"/>
        </w:rPr>
        <w:t>work study</w:t>
      </w:r>
      <w:proofErr w:type="gramEnd"/>
      <w:r>
        <w:rPr>
          <w:rFonts w:ascii="Tahoma" w:hAnsi="Tahoma" w:cs="Tahoma"/>
        </w:rPr>
        <w:t xml:space="preserve"> timesheet is pre-populated with the old account number (21622), so I would suggest writing the new account number on a label and placing it over the old account number on your student’s time sheets. </w:t>
      </w:r>
    </w:p>
    <w:p w14:paraId="61847C00" w14:textId="77777777" w:rsidR="00AF565E" w:rsidRDefault="00AF565E" w:rsidP="00AF565E">
      <w:pPr>
        <w:spacing w:after="0" w:line="240" w:lineRule="auto"/>
        <w:rPr>
          <w:rFonts w:ascii="Tahoma" w:hAnsi="Tahoma" w:cs="Tahoma"/>
        </w:rPr>
      </w:pPr>
    </w:p>
    <w:p w14:paraId="3295F547" w14:textId="77777777" w:rsidR="00AF565E" w:rsidRDefault="00AF565E" w:rsidP="00AF565E">
      <w:pPr>
        <w:spacing w:after="0" w:line="240" w:lineRule="auto"/>
        <w:rPr>
          <w:rFonts w:ascii="Tahoma" w:hAnsi="Tahoma" w:cs="Tahoma"/>
        </w:rPr>
      </w:pPr>
      <w:r>
        <w:rPr>
          <w:rFonts w:ascii="Tahoma" w:hAnsi="Tahoma" w:cs="Tahoma"/>
        </w:rPr>
        <w:t xml:space="preserve">After February </w:t>
      </w:r>
      <w:proofErr w:type="gramStart"/>
      <w:r>
        <w:rPr>
          <w:rFonts w:ascii="Tahoma" w:hAnsi="Tahoma" w:cs="Tahoma"/>
        </w:rPr>
        <w:t>25</w:t>
      </w:r>
      <w:proofErr w:type="gramEnd"/>
      <w:r>
        <w:rPr>
          <w:rFonts w:ascii="Tahoma" w:hAnsi="Tahoma" w:cs="Tahoma"/>
        </w:rPr>
        <w:t xml:space="preserve"> all time cards that do not have the new account number listed on them will be sent back to the department for correction and will get processed on the next pay run. Please check the </w:t>
      </w:r>
      <w:hyperlink r:id="rId7" w:history="1">
        <w:r>
          <w:rPr>
            <w:rStyle w:val="Hyperlink"/>
            <w:rFonts w:ascii="Tahoma" w:hAnsi="Tahoma" w:cs="Tahoma"/>
          </w:rPr>
          <w:t>payroll website</w:t>
        </w:r>
      </w:hyperlink>
      <w:r>
        <w:rPr>
          <w:rFonts w:ascii="Tahoma" w:hAnsi="Tahoma" w:cs="Tahoma"/>
        </w:rPr>
        <w:t xml:space="preserve"> or the </w:t>
      </w:r>
      <w:hyperlink r:id="rId8" w:history="1">
        <w:r>
          <w:rPr>
            <w:rStyle w:val="Hyperlink"/>
            <w:rFonts w:ascii="Tahoma" w:hAnsi="Tahoma" w:cs="Tahoma"/>
          </w:rPr>
          <w:t>time sheet submission deadlines</w:t>
        </w:r>
      </w:hyperlink>
      <w:r>
        <w:rPr>
          <w:rFonts w:ascii="Tahoma" w:hAnsi="Tahoma" w:cs="Tahoma"/>
        </w:rPr>
        <w:t xml:space="preserve"> to ensure your students </w:t>
      </w:r>
      <w:proofErr w:type="gramStart"/>
      <w:r>
        <w:rPr>
          <w:rFonts w:ascii="Tahoma" w:hAnsi="Tahoma" w:cs="Tahoma"/>
        </w:rPr>
        <w:t>are being paid</w:t>
      </w:r>
      <w:proofErr w:type="gramEnd"/>
      <w:r>
        <w:rPr>
          <w:rFonts w:ascii="Tahoma" w:hAnsi="Tahoma" w:cs="Tahoma"/>
        </w:rPr>
        <w:t xml:space="preserve"> in a timely manner.</w:t>
      </w:r>
    </w:p>
    <w:p w14:paraId="3DEF6023" w14:textId="77777777" w:rsidR="00AF565E" w:rsidRDefault="00AF565E" w:rsidP="00AF565E">
      <w:pPr>
        <w:spacing w:after="0" w:line="240" w:lineRule="auto"/>
        <w:rPr>
          <w:rFonts w:ascii="Calibri Light" w:hAnsi="Calibri Light"/>
        </w:rPr>
      </w:pPr>
    </w:p>
    <w:p w14:paraId="2347F329" w14:textId="77777777" w:rsidR="00AF565E" w:rsidRDefault="00AF565E" w:rsidP="00AF565E">
      <w:pPr>
        <w:shd w:val="clear" w:color="auto" w:fill="005596"/>
        <w:spacing w:after="0" w:line="240" w:lineRule="auto"/>
        <w:jc w:val="center"/>
        <w:rPr>
          <w:rFonts w:ascii="Tahoma" w:hAnsi="Tahoma" w:cs="Tahoma"/>
          <w:b/>
          <w:bCs/>
          <w:color w:val="FFCE00"/>
        </w:rPr>
      </w:pPr>
      <w:r>
        <w:rPr>
          <w:rFonts w:ascii="Tahoma" w:hAnsi="Tahoma" w:cs="Tahoma"/>
          <w:b/>
          <w:bCs/>
          <w:color w:val="FFCE00"/>
        </w:rPr>
        <w:t>Check-In Reminders</w:t>
      </w:r>
    </w:p>
    <w:p w14:paraId="1A483A92" w14:textId="77777777" w:rsidR="00AF565E" w:rsidRDefault="00AF565E" w:rsidP="00AF565E">
      <w:pPr>
        <w:spacing w:after="0" w:line="240" w:lineRule="auto"/>
        <w:rPr>
          <w:rFonts w:ascii="Calibri Light" w:hAnsi="Calibri Light"/>
        </w:rPr>
      </w:pPr>
    </w:p>
    <w:p w14:paraId="5FFBC23D" w14:textId="77777777" w:rsidR="00AF565E" w:rsidRDefault="00AF565E" w:rsidP="00AF565E">
      <w:pPr>
        <w:spacing w:after="0" w:line="240" w:lineRule="auto"/>
        <w:rPr>
          <w:rFonts w:ascii="Tahoma" w:hAnsi="Tahoma" w:cs="Tahoma"/>
        </w:rPr>
      </w:pPr>
      <w:r>
        <w:rPr>
          <w:rFonts w:ascii="Tahoma" w:hAnsi="Tahoma" w:cs="Tahoma"/>
        </w:rPr>
        <w:t xml:space="preserve">Now that your student is halfway through their employment, </w:t>
      </w:r>
      <w:proofErr w:type="gramStart"/>
      <w:r>
        <w:rPr>
          <w:rFonts w:ascii="Tahoma" w:hAnsi="Tahoma" w:cs="Tahoma"/>
        </w:rPr>
        <w:t>it’s</w:t>
      </w:r>
      <w:proofErr w:type="gramEnd"/>
      <w:r>
        <w:rPr>
          <w:rFonts w:ascii="Tahoma" w:hAnsi="Tahoma" w:cs="Tahoma"/>
        </w:rPr>
        <w:t xml:space="preserve"> time to complete their Midpoint Check-In with them! I have attached the Midpoint Check-In form to this email. It is also available on mySuccess. Students were instructed to complete their Midpoint Check-In forms by the end of January, so if your students needs an extension for this, just have them email me with the date they anticipate </w:t>
      </w:r>
      <w:proofErr w:type="gramStart"/>
      <w:r>
        <w:rPr>
          <w:rFonts w:ascii="Tahoma" w:hAnsi="Tahoma" w:cs="Tahoma"/>
        </w:rPr>
        <w:t>to upload</w:t>
      </w:r>
      <w:proofErr w:type="gramEnd"/>
      <w:r>
        <w:rPr>
          <w:rFonts w:ascii="Tahoma" w:hAnsi="Tahoma" w:cs="Tahoma"/>
        </w:rPr>
        <w:t xml:space="preserve"> the form.</w:t>
      </w:r>
    </w:p>
    <w:p w14:paraId="585777C6" w14:textId="77777777" w:rsidR="00AF565E" w:rsidRDefault="00AF565E" w:rsidP="00AF565E">
      <w:pPr>
        <w:pStyle w:val="NormalWeb"/>
        <w:shd w:val="clear" w:color="auto" w:fill="FFFFFF"/>
        <w:rPr>
          <w:rFonts w:ascii="Tahoma" w:hAnsi="Tahoma" w:cs="Tahoma"/>
          <w:b/>
          <w:bCs/>
          <w:sz w:val="22"/>
          <w:szCs w:val="22"/>
        </w:rPr>
      </w:pPr>
      <w:r>
        <w:rPr>
          <w:rFonts w:ascii="Tahoma" w:hAnsi="Tahoma" w:cs="Tahoma"/>
          <w:sz w:val="22"/>
          <w:szCs w:val="22"/>
        </w:rPr>
        <w:lastRenderedPageBreak/>
        <w:t>If you or your students have any questions about the process, do let me know. Please remember that</w:t>
      </w:r>
      <w:r>
        <w:rPr>
          <w:rFonts w:ascii="Tahoma" w:hAnsi="Tahoma" w:cs="Tahoma"/>
          <w:b/>
          <w:bCs/>
          <w:sz w:val="22"/>
          <w:szCs w:val="22"/>
        </w:rPr>
        <w:t xml:space="preserve"> </w:t>
      </w:r>
      <w:r>
        <w:rPr>
          <w:rFonts w:ascii="Tahoma" w:hAnsi="Tahoma" w:cs="Tahoma"/>
          <w:sz w:val="22"/>
          <w:szCs w:val="22"/>
        </w:rPr>
        <w:t>reflection is a key component of this program</w:t>
      </w:r>
      <w:r>
        <w:rPr>
          <w:rFonts w:ascii="Tahoma" w:hAnsi="Tahoma" w:cs="Tahoma"/>
          <w:b/>
          <w:bCs/>
          <w:sz w:val="22"/>
          <w:szCs w:val="22"/>
        </w:rPr>
        <w:t xml:space="preserve"> </w:t>
      </w:r>
      <w:r>
        <w:rPr>
          <w:rFonts w:ascii="Tahoma" w:hAnsi="Tahoma" w:cs="Tahoma"/>
          <w:sz w:val="22"/>
          <w:szCs w:val="22"/>
        </w:rPr>
        <w:t>and the</w:t>
      </w:r>
      <w:r>
        <w:rPr>
          <w:rFonts w:ascii="Tahoma" w:hAnsi="Tahoma" w:cs="Tahoma"/>
          <w:b/>
          <w:bCs/>
          <w:sz w:val="22"/>
          <w:szCs w:val="22"/>
        </w:rPr>
        <w:t xml:space="preserve"> Check-Ins are mandatory, as outlined in the </w:t>
      </w:r>
      <w:proofErr w:type="gramStart"/>
      <w:r>
        <w:rPr>
          <w:rFonts w:ascii="Tahoma" w:hAnsi="Tahoma" w:cs="Tahoma"/>
          <w:b/>
          <w:bCs/>
          <w:sz w:val="22"/>
          <w:szCs w:val="22"/>
        </w:rPr>
        <w:t>work study</w:t>
      </w:r>
      <w:proofErr w:type="gramEnd"/>
      <w:r>
        <w:rPr>
          <w:rFonts w:ascii="Tahoma" w:hAnsi="Tahoma" w:cs="Tahoma"/>
          <w:b/>
          <w:bCs/>
          <w:sz w:val="22"/>
          <w:szCs w:val="22"/>
        </w:rPr>
        <w:t xml:space="preserve"> agreement and Confirmation of Hiring Form. </w:t>
      </w:r>
      <w:r>
        <w:rPr>
          <w:rFonts w:ascii="Tahoma" w:hAnsi="Tahoma" w:cs="Tahoma"/>
          <w:sz w:val="22"/>
          <w:szCs w:val="22"/>
        </w:rPr>
        <w:t>Incomplete Ignite Check-Ins may limit the opportunity to participate again in the future.</w:t>
      </w:r>
    </w:p>
    <w:p w14:paraId="2E9ACA10" w14:textId="77777777" w:rsidR="00AF565E" w:rsidRDefault="00AF565E" w:rsidP="00AF565E">
      <w:pPr>
        <w:pStyle w:val="NormalWeb"/>
        <w:shd w:val="clear" w:color="auto" w:fill="005596"/>
        <w:spacing w:before="0" w:beforeAutospacing="0" w:after="0" w:afterAutospacing="0"/>
        <w:jc w:val="center"/>
        <w:rPr>
          <w:rFonts w:ascii="Tahoma" w:hAnsi="Tahoma" w:cs="Tahoma"/>
          <w:b/>
          <w:bCs/>
          <w:color w:val="FFCE00"/>
          <w:sz w:val="22"/>
          <w:szCs w:val="22"/>
        </w:rPr>
      </w:pPr>
      <w:r>
        <w:rPr>
          <w:rFonts w:ascii="Tahoma" w:hAnsi="Tahoma" w:cs="Tahoma"/>
          <w:b/>
          <w:bCs/>
          <w:color w:val="FFCE00"/>
          <w:sz w:val="22"/>
          <w:szCs w:val="22"/>
        </w:rPr>
        <w:t>Student Lifecycle Needs: February</w:t>
      </w:r>
    </w:p>
    <w:p w14:paraId="03468735" w14:textId="77777777" w:rsidR="00AF565E" w:rsidRDefault="00AF565E" w:rsidP="00AF565E">
      <w:pPr>
        <w:pStyle w:val="NormalWeb"/>
        <w:shd w:val="clear" w:color="auto" w:fill="FFFFFF"/>
        <w:rPr>
          <w:rFonts w:ascii="Tahoma" w:hAnsi="Tahoma" w:cs="Tahoma"/>
          <w:sz w:val="22"/>
          <w:szCs w:val="22"/>
        </w:rPr>
      </w:pPr>
      <w:r>
        <w:rPr>
          <w:noProof/>
        </w:rPr>
        <w:drawing>
          <wp:anchor distT="0" distB="0" distL="114300" distR="114300" simplePos="0" relativeHeight="251661312" behindDoc="0" locked="0" layoutInCell="1" allowOverlap="1" wp14:anchorId="5EAA02DE" wp14:editId="3B3CDAE3">
            <wp:simplePos x="0" y="0"/>
            <wp:positionH relativeFrom="margin">
              <wp:align>left</wp:align>
            </wp:positionH>
            <wp:positionV relativeFrom="paragraph">
              <wp:posOffset>568325</wp:posOffset>
            </wp:positionV>
            <wp:extent cx="1200785" cy="1200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Student energy is often low in February as preparation for university midterms begin during this time. However, many may be developing strategies for pursuing summer job opportunities, or thinking about leadership opportunities for next year.</w:t>
      </w:r>
    </w:p>
    <w:p w14:paraId="43BDA2FE" w14:textId="77777777" w:rsidR="00AF565E" w:rsidRDefault="00AF565E" w:rsidP="00AF565E">
      <w:pPr>
        <w:pStyle w:val="NormalWeb"/>
        <w:shd w:val="clear" w:color="auto" w:fill="FFFFFF"/>
        <w:rPr>
          <w:rFonts w:ascii="Tahoma" w:hAnsi="Tahoma" w:cs="Tahoma"/>
          <w:sz w:val="22"/>
          <w:szCs w:val="22"/>
        </w:rPr>
      </w:pPr>
      <w:r>
        <w:rPr>
          <w:rFonts w:ascii="Tahoma" w:hAnsi="Tahoma" w:cs="Tahoma"/>
          <w:sz w:val="22"/>
          <w:szCs w:val="22"/>
        </w:rPr>
        <w:t xml:space="preserve">If your student has indicated they will be looking for a summer job soon, encourage them to be proactive and visit the </w:t>
      </w:r>
      <w:hyperlink r:id="rId10" w:history="1">
        <w:r>
          <w:rPr>
            <w:rStyle w:val="Hyperlink"/>
            <w:rFonts w:ascii="Tahoma" w:hAnsi="Tahoma" w:cs="Tahoma"/>
            <w:sz w:val="22"/>
            <w:szCs w:val="22"/>
          </w:rPr>
          <w:t>Office of Career Development &amp; Experiential Learning</w:t>
        </w:r>
      </w:hyperlink>
      <w:r>
        <w:rPr>
          <w:rFonts w:ascii="Tahoma" w:hAnsi="Tahoma" w:cs="Tahoma"/>
          <w:sz w:val="22"/>
          <w:szCs w:val="22"/>
        </w:rPr>
        <w:t xml:space="preserve"> to get assistance with their job search. Our office offers </w:t>
      </w:r>
      <w:proofErr w:type="gramStart"/>
      <w:r>
        <w:rPr>
          <w:rFonts w:ascii="Tahoma" w:hAnsi="Tahoma" w:cs="Tahoma"/>
          <w:sz w:val="22"/>
          <w:szCs w:val="22"/>
        </w:rPr>
        <w:t>15 minute</w:t>
      </w:r>
      <w:proofErr w:type="gramEnd"/>
      <w:r>
        <w:rPr>
          <w:rFonts w:ascii="Tahoma" w:hAnsi="Tahoma" w:cs="Tahoma"/>
          <w:sz w:val="22"/>
          <w:szCs w:val="22"/>
        </w:rPr>
        <w:t xml:space="preserve"> drop in appointments with a student Peer Advisor, 1-1 career appointments with a Career Advisor, workshops, and much more! </w:t>
      </w:r>
    </w:p>
    <w:p w14:paraId="5D22C097" w14:textId="77777777" w:rsidR="00AF565E" w:rsidRDefault="00AF565E" w:rsidP="00AF565E">
      <w:pPr>
        <w:pStyle w:val="NormalWeb"/>
        <w:shd w:val="clear" w:color="auto" w:fill="FFFFFF"/>
        <w:rPr>
          <w:rFonts w:ascii="Tahoma" w:hAnsi="Tahoma" w:cs="Tahoma"/>
          <w:sz w:val="22"/>
          <w:szCs w:val="22"/>
        </w:rPr>
      </w:pPr>
    </w:p>
    <w:p w14:paraId="19435B4A" w14:textId="77777777" w:rsidR="00AF565E" w:rsidRDefault="00AF565E" w:rsidP="00AF565E">
      <w:pPr>
        <w:pStyle w:val="NormalWeb"/>
        <w:shd w:val="clear" w:color="auto" w:fill="FFFFFF"/>
        <w:rPr>
          <w:rFonts w:ascii="Tahoma" w:hAnsi="Tahoma" w:cs="Tahoma"/>
          <w:sz w:val="22"/>
          <w:szCs w:val="22"/>
        </w:rPr>
      </w:pPr>
      <w:r>
        <w:rPr>
          <w:noProof/>
        </w:rPr>
        <w:drawing>
          <wp:anchor distT="0" distB="0" distL="114300" distR="114300" simplePos="0" relativeHeight="251662336" behindDoc="0" locked="0" layoutInCell="1" allowOverlap="1" wp14:anchorId="28A600F2" wp14:editId="037F0C86">
            <wp:simplePos x="0" y="0"/>
            <wp:positionH relativeFrom="margin">
              <wp:align>right</wp:align>
            </wp:positionH>
            <wp:positionV relativeFrom="paragraph">
              <wp:posOffset>0</wp:posOffset>
            </wp:positionV>
            <wp:extent cx="2000885" cy="15030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885" cy="150304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 xml:space="preserve">Alexander </w:t>
      </w:r>
      <w:proofErr w:type="spellStart"/>
      <w:r>
        <w:rPr>
          <w:rFonts w:ascii="Tahoma" w:hAnsi="Tahoma" w:cs="Tahoma"/>
          <w:sz w:val="22"/>
          <w:szCs w:val="22"/>
        </w:rPr>
        <w:t>Astin’s</w:t>
      </w:r>
      <w:proofErr w:type="spellEnd"/>
      <w:r>
        <w:rPr>
          <w:rFonts w:ascii="Tahoma" w:hAnsi="Tahoma" w:cs="Tahoma"/>
          <w:sz w:val="22"/>
          <w:szCs w:val="22"/>
        </w:rPr>
        <w:t xml:space="preserve"> </w:t>
      </w:r>
      <w:hyperlink r:id="rId12" w:history="1">
        <w:r>
          <w:rPr>
            <w:rStyle w:val="Hyperlink"/>
            <w:rFonts w:ascii="Tahoma" w:hAnsi="Tahoma" w:cs="Tahoma"/>
            <w:sz w:val="22"/>
            <w:szCs w:val="22"/>
          </w:rPr>
          <w:t>Theory of Student Involvement</w:t>
        </w:r>
      </w:hyperlink>
      <w:r>
        <w:rPr>
          <w:rFonts w:ascii="Tahoma" w:hAnsi="Tahoma" w:cs="Tahoma"/>
          <w:sz w:val="22"/>
          <w:szCs w:val="22"/>
        </w:rPr>
        <w:t xml:space="preserve"> states that students learn by becoming involved, and are more successful if they are involved in their academic and social experience. Getting involved on campus is an excellent way for students to gain transferable skills, meet others, and develop professionally and personally. </w:t>
      </w:r>
      <w:hyperlink r:id="rId13" w:history="1">
        <w:proofErr w:type="spellStart"/>
        <w:r>
          <w:rPr>
            <w:rStyle w:val="Hyperlink"/>
            <w:rFonts w:ascii="Tahoma" w:hAnsi="Tahoma" w:cs="Tahoma"/>
            <w:sz w:val="22"/>
            <w:szCs w:val="22"/>
          </w:rPr>
          <w:t>Lead@UWindsor</w:t>
        </w:r>
        <w:proofErr w:type="spellEnd"/>
      </w:hyperlink>
      <w:r>
        <w:rPr>
          <w:rFonts w:ascii="Tahoma" w:hAnsi="Tahoma" w:cs="Tahoma"/>
          <w:sz w:val="22"/>
          <w:szCs w:val="22"/>
        </w:rPr>
        <w:t xml:space="preserve"> is a great opportunity for students to get involved and discover their leadership potential. Applications for 2018-</w:t>
      </w:r>
      <w:proofErr w:type="gramStart"/>
      <w:r>
        <w:rPr>
          <w:rFonts w:ascii="Tahoma" w:hAnsi="Tahoma" w:cs="Tahoma"/>
          <w:sz w:val="22"/>
          <w:szCs w:val="22"/>
        </w:rPr>
        <w:t>2019</w:t>
      </w:r>
      <w:proofErr w:type="gramEnd"/>
      <w:r>
        <w:rPr>
          <w:rFonts w:ascii="Tahoma" w:hAnsi="Tahoma" w:cs="Tahoma"/>
          <w:sz w:val="22"/>
          <w:szCs w:val="22"/>
        </w:rPr>
        <w:t xml:space="preserve"> volunteer positions will go live in February. For more information, visit their </w:t>
      </w:r>
      <w:hyperlink r:id="rId14" w:history="1">
        <w:r>
          <w:rPr>
            <w:rStyle w:val="Hyperlink"/>
            <w:rFonts w:ascii="Tahoma" w:hAnsi="Tahoma" w:cs="Tahoma"/>
            <w:sz w:val="22"/>
            <w:szCs w:val="22"/>
          </w:rPr>
          <w:t>website</w:t>
        </w:r>
      </w:hyperlink>
      <w:r>
        <w:rPr>
          <w:rFonts w:ascii="Tahoma" w:hAnsi="Tahoma" w:cs="Tahoma"/>
          <w:sz w:val="22"/>
          <w:szCs w:val="22"/>
        </w:rPr>
        <w:t>.</w:t>
      </w:r>
    </w:p>
    <w:p w14:paraId="4811F814" w14:textId="77777777" w:rsidR="00AF565E" w:rsidRDefault="00AF565E" w:rsidP="00AF565E">
      <w:pPr>
        <w:pStyle w:val="NormalWeb"/>
        <w:shd w:val="clear" w:color="auto" w:fill="FFFFFF"/>
        <w:rPr>
          <w:rFonts w:ascii="Tahoma" w:hAnsi="Tahoma" w:cs="Tahoma"/>
          <w:sz w:val="22"/>
          <w:szCs w:val="22"/>
        </w:rPr>
      </w:pPr>
    </w:p>
    <w:p w14:paraId="7466FB11" w14:textId="77777777" w:rsidR="00D27DD5" w:rsidRDefault="00D27DD5">
      <w:bookmarkStart w:id="1" w:name="_GoBack"/>
      <w:bookmarkEnd w:id="0"/>
      <w:bookmarkEnd w:id="1"/>
    </w:p>
    <w:sectPr w:rsidR="00D27DD5" w:rsidSect="00AF565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E"/>
    <w:rsid w:val="00AF565E"/>
    <w:rsid w:val="00D27D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C32C165"/>
  <w15:chartTrackingRefBased/>
  <w15:docId w15:val="{D34CBA9F-9924-4DD7-9FBA-E74D8C42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5E"/>
    <w:pPr>
      <w:spacing w:line="252"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65E"/>
    <w:rPr>
      <w:color w:val="0563C1"/>
      <w:u w:val="single"/>
    </w:rPr>
  </w:style>
  <w:style w:type="paragraph" w:styleId="NormalWeb">
    <w:name w:val="Normal (Web)"/>
    <w:basedOn w:val="Normal"/>
    <w:uiPriority w:val="99"/>
    <w:semiHidden/>
    <w:unhideWhenUsed/>
    <w:rsid w:val="00AF565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indsor.ca/finance/sites/uwindsor.ca.finance/files/2018_biwkly_staff_student_payroll_submission_calendar.pdf" TargetMode="External"/><Relationship Id="rId13" Type="http://schemas.openxmlformats.org/officeDocument/2006/relationships/hyperlink" Target="http://www1.uwindsor.ca/volunteer/leaduwindsor" TargetMode="External"/><Relationship Id="rId3" Type="http://schemas.openxmlformats.org/officeDocument/2006/relationships/settings" Target="settings.xml"/><Relationship Id="rId7" Type="http://schemas.openxmlformats.org/officeDocument/2006/relationships/hyperlink" Target="http://www.uwindsor.ca/finance/payroll" TargetMode="External"/><Relationship Id="rId12" Type="http://schemas.openxmlformats.org/officeDocument/2006/relationships/hyperlink" Target="https://www.middlesex.mass.edu/ace/downloads/astininv.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experience.uwindsor.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1.uwindsor.ca/volunteer/leaduwind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B948-7F1D-48C3-85D0-CC5721B7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2018-02-09T19:49:00Z</dcterms:created>
  <dcterms:modified xsi:type="dcterms:W3CDTF">2018-02-09T19:51:00Z</dcterms:modified>
</cp:coreProperties>
</file>