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3A30" w14:textId="77777777" w:rsidR="00003173" w:rsidRDefault="00003173" w:rsidP="00003173">
      <w:pPr>
        <w:rPr>
          <w:rFonts w:ascii="Tahoma" w:hAnsi="Tahoma" w:cs="Tahom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8966"/>
      </w:tblGrid>
      <w:tr w:rsidR="00003173" w14:paraId="0E41FB86" w14:textId="77777777" w:rsidTr="00003173">
        <w:trPr>
          <w:trHeight w:val="1256"/>
        </w:trPr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F14B" w14:textId="77777777" w:rsidR="00003173" w:rsidRDefault="00003173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CA"/>
              </w:rPr>
              <w:drawing>
                <wp:inline distT="0" distB="0" distL="0" distR="0" wp14:anchorId="1C7DC7B7" wp14:editId="20637FB7">
                  <wp:extent cx="1790700" cy="1249680"/>
                  <wp:effectExtent l="0" t="0" r="0" b="7620"/>
                  <wp:docPr id="2" name="Picture 2" descr="cid:image002.jpg@01D39F4C.B3E05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39F4C.B3E05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AA61" w14:textId="77777777" w:rsidR="00003173" w:rsidRDefault="00003173">
            <w:pPr>
              <w:spacing w:line="252" w:lineRule="auto"/>
              <w:rPr>
                <w:rFonts w:ascii="Tahoma" w:hAnsi="Tahoma" w:cs="Tahoma"/>
                <w:b/>
                <w:bCs/>
                <w:color w:val="005596"/>
                <w:spacing w:val="20"/>
              </w:rPr>
            </w:pPr>
          </w:p>
          <w:p w14:paraId="28A526CD" w14:textId="77777777" w:rsidR="00003173" w:rsidRDefault="00003173">
            <w:pPr>
              <w:spacing w:line="252" w:lineRule="auto"/>
              <w:rPr>
                <w:rFonts w:ascii="Tahoma" w:hAnsi="Tahoma" w:cs="Tahoma"/>
                <w:b/>
                <w:bCs/>
                <w:spacing w:val="20"/>
                <w:sz w:val="40"/>
                <w:szCs w:val="40"/>
              </w:rPr>
            </w:pPr>
          </w:p>
          <w:p w14:paraId="62CE5EF6" w14:textId="77777777" w:rsidR="00003173" w:rsidRDefault="00003173">
            <w:pPr>
              <w:spacing w:line="252" w:lineRule="auto"/>
              <w:rPr>
                <w:rFonts w:ascii="Calibri Light" w:hAnsi="Calibri Light"/>
                <w:b/>
                <w:bCs/>
                <w:spacing w:val="20"/>
              </w:rPr>
            </w:pPr>
          </w:p>
          <w:p w14:paraId="221DF110" w14:textId="77777777" w:rsidR="00003173" w:rsidRDefault="00003173">
            <w:pPr>
              <w:spacing w:line="252" w:lineRule="auto"/>
              <w:rPr>
                <w:rFonts w:ascii="Tahoma" w:hAnsi="Tahoma" w:cs="Tahoma"/>
                <w:b/>
                <w:bCs/>
                <w:color w:val="005596"/>
                <w:spacing w:val="20"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color w:val="005596"/>
                <w:spacing w:val="20"/>
                <w:sz w:val="40"/>
                <w:szCs w:val="40"/>
              </w:rPr>
              <w:t>IGNITE BI-WEEKLY NEWSLETTER</w:t>
            </w:r>
          </w:p>
          <w:p w14:paraId="71B5C9A7" w14:textId="77777777" w:rsidR="00003173" w:rsidRDefault="00003173">
            <w:pPr>
              <w:spacing w:line="252" w:lineRule="auto"/>
              <w:rPr>
                <w:rFonts w:ascii="Tahoma" w:hAnsi="Tahoma" w:cs="Tahoma"/>
                <w:b/>
                <w:bCs/>
                <w:spacing w:val="20"/>
              </w:rPr>
            </w:pPr>
            <w:r>
              <w:rPr>
                <w:rFonts w:ascii="Tahoma" w:hAnsi="Tahoma" w:cs="Tahoma"/>
                <w:b/>
                <w:bCs/>
                <w:spacing w:val="20"/>
              </w:rPr>
              <w:t>February 6, 2018</w:t>
            </w:r>
          </w:p>
          <w:p w14:paraId="6605F983" w14:textId="77777777" w:rsidR="00003173" w:rsidRDefault="00003173">
            <w:pPr>
              <w:spacing w:line="252" w:lineRule="auto"/>
              <w:rPr>
                <w:rFonts w:ascii="Tahoma" w:hAnsi="Tahoma" w:cs="Tahoma"/>
                <w:b/>
                <w:bCs/>
                <w:spacing w:val="20"/>
              </w:rPr>
            </w:pPr>
          </w:p>
        </w:tc>
      </w:tr>
    </w:tbl>
    <w:p w14:paraId="145AEA7F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</w:rPr>
        <w:t>This week’s newsletter theme is Professionalism &amp; Work Ethic!</w:t>
      </w:r>
    </w:p>
    <w:p w14:paraId="7EE2C10E" w14:textId="77777777" w:rsidR="00003173" w:rsidRDefault="00003173" w:rsidP="00003173">
      <w:pPr>
        <w:rPr>
          <w:rFonts w:ascii="Calibri Light" w:hAnsi="Calibri Light"/>
        </w:rPr>
      </w:pPr>
    </w:p>
    <w:p w14:paraId="5C153BC2" w14:textId="77777777" w:rsidR="00003173" w:rsidRDefault="00003173" w:rsidP="00003173">
      <w:pPr>
        <w:shd w:val="clear" w:color="auto" w:fill="005596"/>
        <w:jc w:val="center"/>
        <w:rPr>
          <w:rFonts w:ascii="Tahoma" w:hAnsi="Tahoma" w:cs="Tahoma"/>
          <w:b/>
          <w:bCs/>
          <w:color w:val="FFCE00"/>
        </w:rPr>
      </w:pPr>
      <w:r>
        <w:rPr>
          <w:rFonts w:ascii="Tahoma" w:hAnsi="Tahoma" w:cs="Tahoma"/>
          <w:b/>
          <w:bCs/>
          <w:color w:val="FFCE00"/>
        </w:rPr>
        <w:t>Reminder about Check-Ins</w:t>
      </w:r>
    </w:p>
    <w:p w14:paraId="35A25D1D" w14:textId="77777777" w:rsidR="00003173" w:rsidRDefault="00003173" w:rsidP="00003173">
      <w:pPr>
        <w:rPr>
          <w:rFonts w:ascii="Tahoma" w:hAnsi="Tahoma" w:cs="Tahoma"/>
        </w:rPr>
      </w:pPr>
    </w:p>
    <w:p w14:paraId="30DB00FF" w14:textId="77777777" w:rsidR="00003173" w:rsidRDefault="00003173" w:rsidP="00003173">
      <w:pPr>
        <w:rPr>
          <w:rFonts w:ascii="Tahoma" w:hAnsi="Tahoma" w:cs="Tahom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0" wp14:anchorId="242746DB" wp14:editId="11D5FBF4">
            <wp:simplePos x="0" y="0"/>
            <wp:positionH relativeFrom="column">
              <wp:posOffset>-53340</wp:posOffset>
            </wp:positionH>
            <wp:positionV relativeFrom="line">
              <wp:posOffset>41275</wp:posOffset>
            </wp:positionV>
            <wp:extent cx="1456690" cy="18592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1F9D9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Now that you are halfway through your placement, </w:t>
      </w:r>
      <w:proofErr w:type="gramStart"/>
      <w:r>
        <w:rPr>
          <w:rFonts w:ascii="Tahoma" w:hAnsi="Tahoma" w:cs="Tahoma"/>
        </w:rPr>
        <w:t>it’s</w:t>
      </w:r>
      <w:proofErr w:type="gramEnd"/>
      <w:r>
        <w:rPr>
          <w:rFonts w:ascii="Tahoma" w:hAnsi="Tahoma" w:cs="Tahoma"/>
        </w:rPr>
        <w:t xml:space="preserve"> time to complete your Midpoint Check-In with your supervisor, so make sure to upload your Midpoint Check-In form as soon as possible. All forms and instructions </w:t>
      </w:r>
      <w:proofErr w:type="gramStart"/>
      <w:r>
        <w:rPr>
          <w:rFonts w:ascii="Tahoma" w:hAnsi="Tahoma" w:cs="Tahoma"/>
        </w:rPr>
        <w:t>can be found</w:t>
      </w:r>
      <w:proofErr w:type="gramEnd"/>
      <w:r>
        <w:rPr>
          <w:rFonts w:ascii="Tahoma" w:hAnsi="Tahoma" w:cs="Tahoma"/>
        </w:rPr>
        <w:t xml:space="preserve"> on </w:t>
      </w:r>
      <w:hyperlink r:id="rId8" w:history="1">
        <w:r>
          <w:rPr>
            <w:rStyle w:val="Hyperlink"/>
            <w:rFonts w:ascii="Tahoma" w:hAnsi="Tahoma" w:cs="Tahoma"/>
          </w:rPr>
          <w:t>mySuccess</w:t>
        </w:r>
      </w:hyperlink>
      <w:r>
        <w:rPr>
          <w:rFonts w:ascii="Tahoma" w:hAnsi="Tahoma" w:cs="Tahoma"/>
        </w:rPr>
        <w:t xml:space="preserve">. </w:t>
      </w:r>
    </w:p>
    <w:p w14:paraId="189AD10D" w14:textId="77777777" w:rsidR="00003173" w:rsidRDefault="00003173" w:rsidP="00003173">
      <w:pPr>
        <w:rPr>
          <w:rFonts w:ascii="Calibri Light" w:hAnsi="Calibri Light"/>
        </w:rPr>
      </w:pPr>
    </w:p>
    <w:p w14:paraId="0652A3B0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Remember that the Check-Ins are a mandatory part of your </w:t>
      </w:r>
      <w:proofErr w:type="gramStart"/>
      <w:r>
        <w:rPr>
          <w:rFonts w:ascii="Tahoma" w:hAnsi="Tahoma" w:cs="Tahoma"/>
        </w:rPr>
        <w:t>work study</w:t>
      </w:r>
      <w:proofErr w:type="gramEnd"/>
      <w:r>
        <w:rPr>
          <w:rFonts w:ascii="Tahoma" w:hAnsi="Tahoma" w:cs="Tahoma"/>
        </w:rPr>
        <w:t xml:space="preserve"> agreement, which you signed and agreed to. Keep in mind </w:t>
      </w:r>
      <w:proofErr w:type="gramStart"/>
      <w:r>
        <w:rPr>
          <w:rFonts w:ascii="Tahoma" w:hAnsi="Tahoma" w:cs="Tahoma"/>
        </w:rPr>
        <w:t>that students</w:t>
      </w:r>
      <w:proofErr w:type="gramEnd"/>
      <w:r>
        <w:rPr>
          <w:rFonts w:ascii="Tahoma" w:hAnsi="Tahoma" w:cs="Tahoma"/>
        </w:rPr>
        <w:t xml:space="preserve"> who do not submit their Check-Ins may jeopardize their ability to participate in Ignite again next year. </w:t>
      </w:r>
    </w:p>
    <w:p w14:paraId="2B5E40C0" w14:textId="77777777" w:rsidR="00003173" w:rsidRDefault="00003173" w:rsidP="00003173">
      <w:pPr>
        <w:rPr>
          <w:rFonts w:ascii="Tahoma" w:hAnsi="Tahoma" w:cs="Tahoma"/>
        </w:rPr>
      </w:pPr>
    </w:p>
    <w:p w14:paraId="59E6C6DD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</w:rPr>
        <w:t>If you need an extension for your Midpoint Check-In, please discuss this with your supervisor and let me know the date that you intend to upload your form.</w:t>
      </w:r>
    </w:p>
    <w:p w14:paraId="0567E035" w14:textId="77777777" w:rsidR="00003173" w:rsidRDefault="00003173" w:rsidP="00003173">
      <w:pPr>
        <w:rPr>
          <w:rFonts w:ascii="Tahoma" w:hAnsi="Tahoma" w:cs="Tahoma"/>
        </w:rPr>
      </w:pPr>
    </w:p>
    <w:p w14:paraId="7D111583" w14:textId="77777777" w:rsidR="00003173" w:rsidRDefault="00003173" w:rsidP="00003173">
      <w:pPr>
        <w:shd w:val="clear" w:color="auto" w:fill="005596"/>
        <w:jc w:val="center"/>
        <w:rPr>
          <w:rFonts w:ascii="Tahoma" w:hAnsi="Tahoma" w:cs="Tahoma"/>
          <w:b/>
          <w:bCs/>
          <w:color w:val="FFCE00"/>
        </w:rPr>
      </w:pPr>
      <w:r>
        <w:rPr>
          <w:rFonts w:ascii="Tahoma" w:hAnsi="Tahoma" w:cs="Tahoma"/>
          <w:b/>
          <w:bCs/>
          <w:color w:val="FFCE00"/>
        </w:rPr>
        <w:t>Developing Your Skills: Professionalism &amp; Work Ethic</w:t>
      </w:r>
    </w:p>
    <w:p w14:paraId="13732EA4" w14:textId="77777777" w:rsidR="00003173" w:rsidRDefault="00003173" w:rsidP="00003173">
      <w:pPr>
        <w:rPr>
          <w:rFonts w:ascii="Tahoma" w:hAnsi="Tahoma" w:cs="Tahoma"/>
        </w:rPr>
      </w:pPr>
    </w:p>
    <w:p w14:paraId="44D0FA5B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Professionalism </w:t>
      </w:r>
      <w:proofErr w:type="gramStart"/>
      <w:r>
        <w:rPr>
          <w:rFonts w:ascii="Tahoma" w:hAnsi="Tahoma" w:cs="Tahoma"/>
        </w:rPr>
        <w:t>is defined</w:t>
      </w:r>
      <w:proofErr w:type="gramEnd"/>
      <w:r>
        <w:rPr>
          <w:rFonts w:ascii="Tahoma" w:hAnsi="Tahoma" w:cs="Tahoma"/>
        </w:rPr>
        <w:t xml:space="preserve"> as the demonstration of strong personal management practices and a high level of integrity and ethical behaviour.</w:t>
      </w:r>
    </w:p>
    <w:p w14:paraId="2021586A" w14:textId="77777777" w:rsidR="00003173" w:rsidRDefault="00003173" w:rsidP="00003173">
      <w:pPr>
        <w:rPr>
          <w:rFonts w:ascii="Tahoma" w:hAnsi="Tahoma" w:cs="Tahoma"/>
        </w:rPr>
      </w:pPr>
    </w:p>
    <w:p w14:paraId="3A49AECE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Professionalism is different for every workplace, but </w:t>
      </w:r>
      <w:proofErr w:type="gramStart"/>
      <w:r>
        <w:rPr>
          <w:rFonts w:ascii="Tahoma" w:hAnsi="Tahoma" w:cs="Tahoma"/>
        </w:rPr>
        <w:t>there are some universal truths or basic guidelines that every student should follow</w:t>
      </w:r>
      <w:proofErr w:type="gramEnd"/>
      <w:r>
        <w:rPr>
          <w:rFonts w:ascii="Tahoma" w:hAnsi="Tahoma" w:cs="Tahoma"/>
        </w:rPr>
        <w:t>. Skills like communication, resourcefulness, appearance (yes, this is a skill!) and problem solving go hand-in-hand with professionalism.</w:t>
      </w:r>
    </w:p>
    <w:p w14:paraId="37C3D593" w14:textId="77777777" w:rsidR="00003173" w:rsidRDefault="00003173" w:rsidP="00003173">
      <w:pPr>
        <w:rPr>
          <w:rFonts w:ascii="Tahoma" w:hAnsi="Tahoma" w:cs="Tahom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B622294" wp14:editId="3ED55CCF">
            <wp:simplePos x="0" y="0"/>
            <wp:positionH relativeFrom="margin">
              <wp:align>right</wp:align>
            </wp:positionH>
            <wp:positionV relativeFrom="paragraph">
              <wp:posOffset>-1347470</wp:posOffset>
            </wp:positionV>
            <wp:extent cx="1828800" cy="1714500"/>
            <wp:effectExtent l="0" t="0" r="0" b="0"/>
            <wp:wrapSquare wrapText="bothSides"/>
            <wp:docPr id="3" name="Picture 3" descr="Did you know…&#10;&#10;In a survey conducted by 600 HR professionals, 34% indicated that interpersonal skills are the top indicator of professionalism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d you know…&#10;&#10;In a survey conducted by 600 HR professionals, 34% indicated that interpersonal skills are the top indicator of professionalism?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53FD7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 your Ignite role you are not just a student; you are an employee of the university. As a University of Windsor employee, </w:t>
      </w:r>
      <w:proofErr w:type="gramStart"/>
      <w:r>
        <w:rPr>
          <w:rFonts w:ascii="Tahoma" w:hAnsi="Tahoma" w:cs="Tahoma"/>
        </w:rPr>
        <w:t>it’s</w:t>
      </w:r>
      <w:proofErr w:type="gramEnd"/>
      <w:r>
        <w:rPr>
          <w:rFonts w:ascii="Tahoma" w:hAnsi="Tahoma" w:cs="Tahoma"/>
        </w:rPr>
        <w:t xml:space="preserve"> important to adhere to UWindsor service standards. A copy of our standards </w:t>
      </w:r>
      <w:proofErr w:type="gramStart"/>
      <w:r>
        <w:rPr>
          <w:rFonts w:ascii="Tahoma" w:hAnsi="Tahoma" w:cs="Tahoma"/>
        </w:rPr>
        <w:t>can be found</w:t>
      </w:r>
      <w:proofErr w:type="gramEnd"/>
      <w:r>
        <w:rPr>
          <w:rFonts w:ascii="Tahoma" w:hAnsi="Tahoma" w:cs="Tahoma"/>
        </w:rPr>
        <w:t xml:space="preserve"> </w:t>
      </w:r>
      <w:hyperlink r:id="rId10" w:history="1">
        <w:r>
          <w:rPr>
            <w:rStyle w:val="Hyperlink"/>
            <w:rFonts w:ascii="Tahoma" w:hAnsi="Tahoma" w:cs="Tahoma"/>
          </w:rPr>
          <w:t>here</w:t>
        </w:r>
      </w:hyperlink>
      <w:r>
        <w:rPr>
          <w:rFonts w:ascii="Tahoma" w:hAnsi="Tahoma" w:cs="Tahoma"/>
        </w:rPr>
        <w:t>.</w:t>
      </w:r>
    </w:p>
    <w:p w14:paraId="6BCF1A55" w14:textId="77777777" w:rsidR="00003173" w:rsidRDefault="00003173" w:rsidP="00003173">
      <w:pPr>
        <w:rPr>
          <w:rFonts w:ascii="Tahoma" w:hAnsi="Tahoma" w:cs="Tahoma"/>
        </w:rPr>
      </w:pPr>
    </w:p>
    <w:p w14:paraId="03321935" w14:textId="77777777" w:rsidR="00003173" w:rsidRDefault="00003173" w:rsidP="00003173">
      <w:pPr>
        <w:shd w:val="clear" w:color="auto" w:fill="005596"/>
        <w:jc w:val="center"/>
        <w:rPr>
          <w:rFonts w:ascii="Tahoma" w:hAnsi="Tahoma" w:cs="Tahoma"/>
          <w:b/>
          <w:bCs/>
          <w:color w:val="FFCE00"/>
        </w:rPr>
      </w:pPr>
      <w:r>
        <w:rPr>
          <w:rFonts w:ascii="Tahoma" w:hAnsi="Tahoma" w:cs="Tahoma"/>
          <w:b/>
          <w:bCs/>
          <w:color w:val="FFCE00"/>
        </w:rPr>
        <w:t>Professionalism &amp; Work Ethic in Action</w:t>
      </w:r>
    </w:p>
    <w:p w14:paraId="33FDB024" w14:textId="77777777" w:rsidR="00003173" w:rsidRDefault="00003173" w:rsidP="00003173">
      <w:pPr>
        <w:jc w:val="center"/>
        <w:rPr>
          <w:rFonts w:ascii="Tahoma" w:hAnsi="Tahoma" w:cs="Tahoma"/>
          <w:lang w:eastAsia="en-CA"/>
        </w:rPr>
      </w:pPr>
    </w:p>
    <w:p w14:paraId="265B1D2A" w14:textId="77777777" w:rsidR="00003173" w:rsidRDefault="00003173" w:rsidP="0000317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CA"/>
        </w:rPr>
        <w:drawing>
          <wp:inline distT="0" distB="0" distL="0" distR="0" wp14:anchorId="1A1E4AE8" wp14:editId="172C74F5">
            <wp:extent cx="4351020" cy="4069080"/>
            <wp:effectExtent l="0" t="0" r="0" b="7620"/>
            <wp:docPr id="1" name="Picture 1" descr="cid:image013.jpg@01D39F4C.B3E0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3.jpg@01D39F4C.B3E052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94B3" w14:textId="77777777" w:rsidR="00003173" w:rsidRDefault="00003173" w:rsidP="00003173">
      <w:pPr>
        <w:rPr>
          <w:rFonts w:ascii="Tahoma" w:hAnsi="Tahoma" w:cs="Tahoma"/>
        </w:rPr>
      </w:pPr>
    </w:p>
    <w:p w14:paraId="49A75298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you selected Professionalism &amp; Work Ethic as the </w:t>
      </w:r>
      <w:proofErr w:type="gramStart"/>
      <w:r>
        <w:rPr>
          <w:rFonts w:ascii="Tahoma" w:hAnsi="Tahoma" w:cs="Tahoma"/>
        </w:rPr>
        <w:t>competency</w:t>
      </w:r>
      <w:proofErr w:type="gramEnd"/>
      <w:r>
        <w:rPr>
          <w:rFonts w:ascii="Tahoma" w:hAnsi="Tahoma" w:cs="Tahoma"/>
        </w:rPr>
        <w:t xml:space="preserve"> you’d like to develop at your Initial Check-In, or if you’re looking to improve your professionalism, consider doing the following in your Ignite role:</w:t>
      </w:r>
    </w:p>
    <w:p w14:paraId="33187A92" w14:textId="77777777" w:rsidR="00003173" w:rsidRDefault="00003173" w:rsidP="0000317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5596"/>
        </w:rPr>
        <w:t>Exercise personal accountability and learn from mistakes:</w:t>
      </w:r>
      <w:r>
        <w:rPr>
          <w:rFonts w:ascii="Tahoma" w:hAnsi="Tahoma" w:cs="Tahoma"/>
          <w:color w:val="005596"/>
        </w:rPr>
        <w:t xml:space="preserve"> </w:t>
      </w:r>
      <w:r>
        <w:rPr>
          <w:rFonts w:ascii="Tahoma" w:hAnsi="Tahoma" w:cs="Tahoma"/>
        </w:rPr>
        <w:t xml:space="preserve">if you accidentally make a mistake when completing a task, own up to it! Your supervisor understands that you are a student and may make mistakes. </w:t>
      </w:r>
    </w:p>
    <w:p w14:paraId="4D22F55A" w14:textId="77777777" w:rsidR="00003173" w:rsidRDefault="00003173" w:rsidP="0000317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5596"/>
        </w:rPr>
        <w:lastRenderedPageBreak/>
        <w:t>Manage your time:</w:t>
      </w:r>
      <w:r>
        <w:rPr>
          <w:rFonts w:ascii="Tahoma" w:hAnsi="Tahoma" w:cs="Tahoma"/>
          <w:color w:val="005596"/>
        </w:rPr>
        <w:t xml:space="preserve"> </w:t>
      </w:r>
      <w:r>
        <w:rPr>
          <w:rFonts w:ascii="Tahoma" w:hAnsi="Tahoma" w:cs="Tahoma"/>
        </w:rPr>
        <w:t xml:space="preserve">this includes being punctual and meeting deadlines. Showing up to work 10 minutes late everyday is extremely unprofessional in the workplace. </w:t>
      </w:r>
      <w:proofErr w:type="gramStart"/>
      <w:r>
        <w:rPr>
          <w:rFonts w:ascii="Tahoma" w:hAnsi="Tahoma" w:cs="Tahoma"/>
        </w:rPr>
        <w:t>It’s</w:t>
      </w:r>
      <w:proofErr w:type="gramEnd"/>
      <w:r>
        <w:rPr>
          <w:rFonts w:ascii="Tahoma" w:hAnsi="Tahoma" w:cs="Tahoma"/>
        </w:rPr>
        <w:t xml:space="preserve"> best to always arrive at your scheduled shifts at least 5 minutes earlier.</w:t>
      </w:r>
    </w:p>
    <w:p w14:paraId="512B4E05" w14:textId="77777777" w:rsidR="00003173" w:rsidRDefault="00003173" w:rsidP="0000317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5596"/>
        </w:rPr>
        <w:t>Understand the impact of non-verbal communication</w:t>
      </w:r>
      <w:r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</w:rPr>
        <w:t>our body speaks for itself. Eye rolling, lack of eye contact, and crossed arms may be seen as signs of defensiveness or indifference by your employer.</w:t>
      </w:r>
    </w:p>
    <w:p w14:paraId="055CE4DF" w14:textId="77777777" w:rsidR="00003173" w:rsidRDefault="00003173" w:rsidP="0000317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5596"/>
        </w:rPr>
        <w:t>Show interest, initiative, effort and enthusiasm:</w:t>
      </w:r>
      <w:r>
        <w:rPr>
          <w:rFonts w:ascii="Tahoma" w:hAnsi="Tahoma" w:cs="Tahoma"/>
          <w:color w:val="005596"/>
        </w:rPr>
        <w:t xml:space="preserve"> </w:t>
      </w:r>
      <w:proofErr w:type="gramStart"/>
      <w:r>
        <w:rPr>
          <w:rFonts w:ascii="Tahoma" w:hAnsi="Tahoma" w:cs="Tahoma"/>
        </w:rPr>
        <w:t>it’s</w:t>
      </w:r>
      <w:proofErr w:type="gramEnd"/>
      <w:r>
        <w:rPr>
          <w:rFonts w:ascii="Tahoma" w:hAnsi="Tahoma" w:cs="Tahoma"/>
        </w:rPr>
        <w:t xml:space="preserve"> important to put in the work and stay focused in your Ignite role. Rather than waiting for your supervisor to tell you what needs to </w:t>
      </w:r>
      <w:proofErr w:type="gramStart"/>
      <w:r>
        <w:rPr>
          <w:rFonts w:ascii="Tahoma" w:hAnsi="Tahoma" w:cs="Tahoma"/>
        </w:rPr>
        <w:t>be done</w:t>
      </w:r>
      <w:proofErr w:type="gramEnd"/>
      <w:r>
        <w:rPr>
          <w:rFonts w:ascii="Tahoma" w:hAnsi="Tahoma" w:cs="Tahoma"/>
        </w:rPr>
        <w:t xml:space="preserve"> next, take initiative and start a task on your own.</w:t>
      </w:r>
    </w:p>
    <w:p w14:paraId="57C4E453" w14:textId="77777777" w:rsidR="00003173" w:rsidRDefault="00003173" w:rsidP="0000317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5596"/>
        </w:rPr>
        <w:t xml:space="preserve">Problem </w:t>
      </w:r>
      <w:proofErr w:type="gramStart"/>
      <w:r>
        <w:rPr>
          <w:rFonts w:ascii="Tahoma" w:hAnsi="Tahoma" w:cs="Tahoma"/>
          <w:b/>
          <w:bCs/>
          <w:color w:val="005596"/>
        </w:rPr>
        <w:t>solve:</w:t>
      </w:r>
      <w:proofErr w:type="gramEnd"/>
      <w:r>
        <w:rPr>
          <w:rFonts w:ascii="Tahoma" w:hAnsi="Tahoma" w:cs="Tahoma"/>
          <w:color w:val="005596"/>
        </w:rPr>
        <w:t xml:space="preserve"> </w:t>
      </w:r>
      <w:r>
        <w:rPr>
          <w:rFonts w:ascii="Tahoma" w:hAnsi="Tahoma" w:cs="Tahoma"/>
        </w:rPr>
        <w:t>always try to seek out the answer to something before you ask your supervisor. Google can go a long way! Presenting a potential solution to the problem to your employer is a great way to show you have a strong work ethic.</w:t>
      </w:r>
    </w:p>
    <w:p w14:paraId="37782F87" w14:textId="77777777" w:rsidR="00003173" w:rsidRDefault="00003173" w:rsidP="00003173">
      <w:pPr>
        <w:rPr>
          <w:rFonts w:ascii="Tahoma" w:hAnsi="Tahoma" w:cs="Tahoma"/>
        </w:rPr>
      </w:pPr>
    </w:p>
    <w:p w14:paraId="18C40CB0" w14:textId="77777777" w:rsidR="00003173" w:rsidRDefault="00003173" w:rsidP="00003173">
      <w:pPr>
        <w:rPr>
          <w:rFonts w:ascii="Calibri Light" w:hAnsi="Calibri Light"/>
        </w:rPr>
      </w:pPr>
    </w:p>
    <w:p w14:paraId="342769B8" w14:textId="77777777" w:rsidR="00003173" w:rsidRDefault="00003173" w:rsidP="00003173">
      <w:pPr>
        <w:shd w:val="clear" w:color="auto" w:fill="005596"/>
        <w:jc w:val="center"/>
        <w:rPr>
          <w:rFonts w:ascii="Tahoma" w:hAnsi="Tahoma" w:cs="Tahoma"/>
          <w:b/>
          <w:bCs/>
          <w:color w:val="FFCE00"/>
        </w:rPr>
      </w:pPr>
      <w:proofErr w:type="gramStart"/>
      <w:r>
        <w:rPr>
          <w:rFonts w:ascii="Tahoma" w:hAnsi="Tahoma" w:cs="Tahoma"/>
          <w:b/>
          <w:bCs/>
          <w:color w:val="FFCE00"/>
        </w:rPr>
        <w:t>Want to Learn More?</w:t>
      </w:r>
      <w:proofErr w:type="gramEnd"/>
    </w:p>
    <w:p w14:paraId="670F9102" w14:textId="77777777" w:rsidR="00003173" w:rsidRDefault="00003173" w:rsidP="00003173">
      <w:pPr>
        <w:rPr>
          <w:rFonts w:ascii="Tahoma" w:hAnsi="Tahoma" w:cs="Tahoma"/>
        </w:rPr>
      </w:pPr>
    </w:p>
    <w:p w14:paraId="5B3AD969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</w:rPr>
        <w:t>Check out the following additional resources:</w:t>
      </w:r>
    </w:p>
    <w:p w14:paraId="7BB36942" w14:textId="77777777" w:rsidR="00003173" w:rsidRDefault="00003173" w:rsidP="00003173">
      <w:pPr>
        <w:rPr>
          <w:rFonts w:ascii="Tahoma" w:hAnsi="Tahoma" w:cs="Tahoma"/>
        </w:rPr>
      </w:pPr>
    </w:p>
    <w:p w14:paraId="2CD9FA32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The 10 Characteristics of Professionalism</w:t>
      </w:r>
      <w:r>
        <w:rPr>
          <w:rFonts w:ascii="Tahoma" w:hAnsi="Tahoma" w:cs="Tahoma"/>
        </w:rPr>
        <w:t xml:space="preserve"> “</w:t>
      </w:r>
      <w:r>
        <w:rPr>
          <w:rFonts w:ascii="Tahoma" w:hAnsi="Tahoma" w:cs="Tahoma"/>
          <w:i/>
          <w:iCs/>
        </w:rPr>
        <w:t>True professionals possess a number of important characteristics that can apply to virtually any type of business…</w:t>
      </w:r>
      <w:proofErr w:type="gramStart"/>
      <w:r>
        <w:rPr>
          <w:rFonts w:ascii="Tahoma" w:hAnsi="Tahoma" w:cs="Tahoma"/>
        </w:rPr>
        <w:t>”</w:t>
      </w:r>
      <w:proofErr w:type="gramEnd"/>
      <w:r>
        <w:rPr>
          <w:rFonts w:ascii="Tahoma" w:hAnsi="Tahoma" w:cs="Tahoma"/>
        </w:rPr>
        <w:t xml:space="preserve"> </w:t>
      </w:r>
      <w:hyperlink r:id="rId13" w:history="1">
        <w:r>
          <w:rPr>
            <w:rStyle w:val="Hyperlink"/>
            <w:rFonts w:ascii="Tahoma" w:hAnsi="Tahoma" w:cs="Tahoma"/>
          </w:rPr>
          <w:t>Read more</w:t>
        </w:r>
      </w:hyperlink>
    </w:p>
    <w:p w14:paraId="41601553" w14:textId="77777777" w:rsidR="00003173" w:rsidRDefault="00003173" w:rsidP="00003173">
      <w:pPr>
        <w:jc w:val="center"/>
        <w:rPr>
          <w:rFonts w:ascii="Tahoma" w:hAnsi="Tahoma" w:cs="Tahoma"/>
        </w:rPr>
      </w:pPr>
    </w:p>
    <w:p w14:paraId="1E1EDDBB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Formal Vs. Casual Emails: How </w:t>
      </w:r>
      <w:proofErr w:type="gramStart"/>
      <w:r>
        <w:rPr>
          <w:rFonts w:ascii="Tahoma" w:hAnsi="Tahoma" w:cs="Tahoma"/>
          <w:b/>
          <w:bCs/>
        </w:rPr>
        <w:t>To</w:t>
      </w:r>
      <w:proofErr w:type="gramEnd"/>
      <w:r>
        <w:rPr>
          <w:rFonts w:ascii="Tahoma" w:hAnsi="Tahoma" w:cs="Tahoma"/>
          <w:b/>
          <w:bCs/>
        </w:rPr>
        <w:t xml:space="preserve"> Keep The Professionalism In Your Correspondences</w:t>
      </w:r>
      <w:r>
        <w:rPr>
          <w:rFonts w:ascii="Tahoma" w:hAnsi="Tahoma" w:cs="Tahoma"/>
        </w:rPr>
        <w:t xml:space="preserve"> “</w:t>
      </w:r>
      <w:r>
        <w:rPr>
          <w:rFonts w:ascii="Tahoma" w:hAnsi="Tahoma" w:cs="Tahoma"/>
          <w:i/>
          <w:iCs/>
        </w:rPr>
        <w:t>It can be difficult to know where the line gets drawn for casual emails in the workplace. How do (or should) you maintain your level of professionalism in your day-to-day email correspondences at work?</w:t>
      </w:r>
      <w:r>
        <w:rPr>
          <w:rFonts w:ascii="Tahoma" w:hAnsi="Tahoma" w:cs="Tahoma"/>
        </w:rPr>
        <w:t xml:space="preserve">” </w:t>
      </w:r>
      <w:hyperlink r:id="rId14" w:history="1">
        <w:r>
          <w:rPr>
            <w:rStyle w:val="Hyperlink"/>
            <w:rFonts w:ascii="Tahoma" w:hAnsi="Tahoma" w:cs="Tahoma"/>
          </w:rPr>
          <w:t>Read more</w:t>
        </w:r>
      </w:hyperlink>
    </w:p>
    <w:p w14:paraId="212D1AD7" w14:textId="77777777" w:rsidR="00003173" w:rsidRDefault="00003173" w:rsidP="00003173">
      <w:pPr>
        <w:rPr>
          <w:rFonts w:ascii="Tahoma" w:hAnsi="Tahoma" w:cs="Tahoma"/>
        </w:rPr>
      </w:pPr>
    </w:p>
    <w:p w14:paraId="5A6B5DA8" w14:textId="77777777" w:rsidR="00003173" w:rsidRDefault="00003173" w:rsidP="0000317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Your Work Self </w:t>
      </w:r>
      <w:r>
        <w:rPr>
          <w:rFonts w:ascii="Tahoma" w:hAnsi="Tahoma" w:cs="Tahoma"/>
        </w:rPr>
        <w:t>“</w:t>
      </w:r>
      <w:r>
        <w:rPr>
          <w:rFonts w:ascii="Tahoma" w:hAnsi="Tahoma" w:cs="Tahoma"/>
          <w:i/>
          <w:iCs/>
          <w:color w:val="222222"/>
          <w:shd w:val="clear" w:color="auto" w:fill="FFFFFF"/>
        </w:rPr>
        <w:t>Since it is expected that people will change jobs and companies several times over their career, the ability to assess a specific work environment and learning to adapt to it should be a well-honed skill in a job seeker’s toolbox…</w:t>
      </w:r>
      <w:r>
        <w:rPr>
          <w:rFonts w:ascii="Tahoma" w:hAnsi="Tahoma" w:cs="Tahoma"/>
          <w:color w:val="222222"/>
          <w:shd w:val="clear" w:color="auto" w:fill="FFFFFF"/>
        </w:rPr>
        <w:t>”</w:t>
      </w:r>
      <w:r>
        <w:rPr>
          <w:rFonts w:ascii="Tahoma" w:hAnsi="Tahoma" w:cs="Tahoma"/>
          <w:b/>
          <w:bCs/>
        </w:rPr>
        <w:t xml:space="preserve"> </w:t>
      </w:r>
      <w:hyperlink r:id="rId15" w:history="1">
        <w:r>
          <w:rPr>
            <w:rStyle w:val="Hyperlink"/>
            <w:rFonts w:ascii="Tahoma" w:hAnsi="Tahoma" w:cs="Tahoma"/>
          </w:rPr>
          <w:t>Read more</w:t>
        </w:r>
      </w:hyperlink>
    </w:p>
    <w:p w14:paraId="63F4CEAB" w14:textId="77777777" w:rsidR="00003173" w:rsidRDefault="00003173" w:rsidP="00003173">
      <w:pPr>
        <w:rPr>
          <w:rFonts w:ascii="Calibri Light" w:hAnsi="Calibri Light"/>
        </w:rPr>
      </w:pPr>
    </w:p>
    <w:p w14:paraId="41A971C1" w14:textId="77777777" w:rsidR="0053109A" w:rsidRDefault="0053109A">
      <w:bookmarkStart w:id="0" w:name="_GoBack"/>
      <w:bookmarkEnd w:id="0"/>
    </w:p>
    <w:sectPr w:rsidR="0053109A" w:rsidSect="0000317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8C6"/>
    <w:multiLevelType w:val="hybridMultilevel"/>
    <w:tmpl w:val="2D244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73"/>
    <w:rsid w:val="00003173"/>
    <w:rsid w:val="0053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782591"/>
  <w15:chartTrackingRefBased/>
  <w15:docId w15:val="{3A7404B2-51CA-4D52-8783-2412DDE7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1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31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ccess.uwindsor.ca" TargetMode="External"/><Relationship Id="rId13" Type="http://schemas.openxmlformats.org/officeDocument/2006/relationships/hyperlink" Target="https://www.linkedin.com/pulse/10-characteristics-professionalism-gre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10.jpg@01D39F53.96D0E1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jpg@01D39F53.96D0E1D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jobpostings.ca/career-guides/blog/your-work-self" TargetMode="External"/><Relationship Id="rId10" Type="http://schemas.openxmlformats.org/officeDocument/2006/relationships/hyperlink" Target="http://www1.uwindsor.ca/serviceexcellence/system/files/6754%20ServiceExcellenceManual2013_oct28_web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talentegg.ca/incubator/2015/07/10/formal-casual-emails-professionalism-correspond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Murray</dc:creator>
  <cp:keywords/>
  <dc:description/>
  <cp:lastModifiedBy>Sydney Murray</cp:lastModifiedBy>
  <cp:revision>1</cp:revision>
  <dcterms:created xsi:type="dcterms:W3CDTF">2018-02-06T19:05:00Z</dcterms:created>
  <dcterms:modified xsi:type="dcterms:W3CDTF">2018-02-06T19:06:00Z</dcterms:modified>
</cp:coreProperties>
</file>