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7DBEF3" w14:textId="1A8762FD" w:rsidR="00E82AD0" w:rsidRDefault="00DE5C7D" w:rsidP="00DE5C7D">
      <w:pPr>
        <w:spacing w:after="160" w:line="259" w:lineRule="auto"/>
        <w:jc w:val="center"/>
        <w:rPr>
          <w:b/>
        </w:rPr>
      </w:pPr>
      <w:r w:rsidRPr="000A5226">
        <w:rPr>
          <w:b/>
        </w:rPr>
        <w:t xml:space="preserve">Summary Document: </w:t>
      </w:r>
      <w:r w:rsidR="00E82AD0">
        <w:rPr>
          <w:b/>
        </w:rPr>
        <w:t>University of Windsor Teaching Framework</w:t>
      </w:r>
    </w:p>
    <w:p w14:paraId="5C8D9FE2" w14:textId="42133E5A" w:rsidR="00DE5C7D" w:rsidRDefault="00DE5C7D" w:rsidP="00DE5C7D">
      <w:pPr>
        <w:spacing w:after="160" w:line="259" w:lineRule="auto"/>
        <w:jc w:val="center"/>
        <w:rPr>
          <w:b/>
        </w:rPr>
      </w:pPr>
      <w:r w:rsidRPr="000A5226">
        <w:rPr>
          <w:b/>
        </w:rPr>
        <w:t>Criteria and Indicators Only</w:t>
      </w:r>
    </w:p>
    <w:p w14:paraId="29FB3966" w14:textId="03BE31D1" w:rsidR="00E82AD0" w:rsidRPr="00E82AD0" w:rsidRDefault="00E82AD0" w:rsidP="00E82AD0">
      <w:pPr>
        <w:spacing w:after="0" w:line="240" w:lineRule="auto"/>
      </w:pPr>
      <w:r w:rsidRPr="00E82AD0">
        <w:t xml:space="preserve">This document provides the University of Windsor Teaching </w:t>
      </w:r>
      <w:r w:rsidR="00136D53">
        <w:t>Framework criteria and i</w:t>
      </w:r>
      <w:r w:rsidRPr="00E82AD0">
        <w:t xml:space="preserve">ndicators in </w:t>
      </w:r>
      <w:r w:rsidR="00055B7F">
        <w:t xml:space="preserve"> summary </w:t>
      </w:r>
      <w:bookmarkStart w:id="0" w:name="_GoBack"/>
      <w:bookmarkEnd w:id="0"/>
      <w:r w:rsidR="00136D53">
        <w:t>to illustrate an alternative format</w:t>
      </w:r>
      <w:r w:rsidRPr="00E82AD0">
        <w:t>:  for pro</w:t>
      </w:r>
      <w:r w:rsidR="00136D53">
        <w:t xml:space="preserve">ponents and department heads, </w:t>
      </w:r>
      <w:r w:rsidRPr="00E82AD0">
        <w:t>version</w:t>
      </w:r>
      <w:r w:rsidR="00136D53">
        <w:t>s</w:t>
      </w:r>
      <w:r w:rsidRPr="00E82AD0">
        <w:t xml:space="preserve"> that includes possible sources of evidence may be more useful, but depart</w:t>
      </w:r>
      <w:r w:rsidR="00136D53">
        <w:t>ments are free to adapt the Framework</w:t>
      </w:r>
      <w:r w:rsidRPr="00E82AD0">
        <w:t xml:space="preserve"> documents as appropriate to their contexts and cultures. </w:t>
      </w:r>
    </w:p>
    <w:p w14:paraId="403B770B" w14:textId="77777777" w:rsidR="00DE5C7D" w:rsidRDefault="00DE5C7D" w:rsidP="00DE5C7D">
      <w:pPr>
        <w:spacing w:after="0"/>
        <w:rPr>
          <w:rFonts w:asciiTheme="majorHAnsi" w:hAnsiTheme="majorHAnsi"/>
          <w:b/>
        </w:rPr>
      </w:pPr>
    </w:p>
    <w:p w14:paraId="4452C7F3" w14:textId="77777777" w:rsidR="00DE5C7D" w:rsidRPr="00804591" w:rsidRDefault="00DE5C7D" w:rsidP="00DE5C7D">
      <w:pPr>
        <w:spacing w:after="0"/>
        <w:rPr>
          <w:b/>
        </w:rPr>
      </w:pPr>
      <w:r w:rsidRPr="00804591">
        <w:rPr>
          <w:b/>
        </w:rPr>
        <w:t>Criterion 1:  Design and planning of learning activities</w:t>
      </w:r>
    </w:p>
    <w:p w14:paraId="36CD7EC8" w14:textId="77777777" w:rsidR="00DE5C7D" w:rsidRPr="00804591" w:rsidRDefault="00DE5C7D" w:rsidP="00DE5C7D">
      <w:pPr>
        <w:spacing w:after="0"/>
      </w:pPr>
      <w:r w:rsidRPr="00804591">
        <w:t xml:space="preserve">Planning, development and preparation of learning activities, learning resources and materials for courses or degree program; including coordination, involvement or leadership in curriculum design and development. Indicators departments may wish to consider include:  </w:t>
      </w:r>
    </w:p>
    <w:p w14:paraId="04859FC4" w14:textId="77777777" w:rsidR="00DE5C7D" w:rsidRPr="00804591" w:rsidRDefault="00DE5C7D" w:rsidP="00DE5C7D">
      <w:pPr>
        <w:pStyle w:val="ListParagraph"/>
        <w:numPr>
          <w:ilvl w:val="0"/>
          <w:numId w:val="1"/>
        </w:numPr>
        <w:spacing w:after="0" w:line="240" w:lineRule="auto"/>
        <w:ind w:right="120"/>
        <w:rPr>
          <w:rFonts w:eastAsia="Times New Roman" w:cs="Helvetica"/>
          <w:color w:val="000000"/>
          <w:lang w:eastAsia="en-AU"/>
        </w:rPr>
      </w:pPr>
      <w:r w:rsidRPr="00804591">
        <w:rPr>
          <w:rFonts w:eastAsia="Times New Roman" w:cs="Helvetica"/>
          <w:color w:val="000000"/>
          <w:lang w:eastAsia="en-AU"/>
        </w:rPr>
        <w:t>Preparation of course materials</w:t>
      </w:r>
    </w:p>
    <w:p w14:paraId="154EE544" w14:textId="77777777" w:rsidR="00DE5C7D" w:rsidRPr="00804591" w:rsidRDefault="00DE5C7D" w:rsidP="00DE5C7D">
      <w:pPr>
        <w:pStyle w:val="ListParagraph"/>
        <w:numPr>
          <w:ilvl w:val="0"/>
          <w:numId w:val="1"/>
        </w:numPr>
        <w:spacing w:after="0" w:line="240" w:lineRule="auto"/>
        <w:ind w:right="120"/>
        <w:rPr>
          <w:rFonts w:eastAsia="Times New Roman" w:cs="Helvetica"/>
          <w:color w:val="000000"/>
          <w:lang w:eastAsia="en-AU"/>
        </w:rPr>
      </w:pPr>
      <w:r w:rsidRPr="00804591">
        <w:rPr>
          <w:rFonts w:eastAsia="Times New Roman" w:cs="Helvetica"/>
          <w:bCs/>
          <w:color w:val="000000"/>
          <w:lang w:eastAsia="en-AU"/>
        </w:rPr>
        <w:t>Learning activities designed to develop the students’ learning</w:t>
      </w:r>
    </w:p>
    <w:p w14:paraId="0EBE2AFD" w14:textId="77777777" w:rsidR="00DE5C7D" w:rsidRPr="00804591" w:rsidRDefault="00DE5C7D" w:rsidP="00DE5C7D">
      <w:pPr>
        <w:pStyle w:val="ListParagraph"/>
        <w:numPr>
          <w:ilvl w:val="0"/>
          <w:numId w:val="1"/>
        </w:numPr>
        <w:spacing w:after="0" w:line="240" w:lineRule="auto"/>
        <w:ind w:right="120"/>
        <w:rPr>
          <w:rFonts w:eastAsia="Times New Roman" w:cs="Helvetica"/>
          <w:color w:val="000000"/>
          <w:lang w:eastAsia="en-AU"/>
        </w:rPr>
      </w:pPr>
      <w:r w:rsidRPr="00804591">
        <w:rPr>
          <w:rFonts w:eastAsia="Times New Roman" w:cs="Helvetica"/>
          <w:bCs/>
          <w:color w:val="000000"/>
          <w:lang w:eastAsia="en-AU"/>
        </w:rPr>
        <w:t>Soundness of  knowledge of the course content and material</w:t>
      </w:r>
    </w:p>
    <w:p w14:paraId="3083D1C0" w14:textId="77777777" w:rsidR="00DE5C7D" w:rsidRPr="00804591" w:rsidRDefault="00DE5C7D" w:rsidP="00DE5C7D">
      <w:pPr>
        <w:pStyle w:val="ListParagraph"/>
        <w:numPr>
          <w:ilvl w:val="0"/>
          <w:numId w:val="1"/>
        </w:numPr>
        <w:spacing w:after="0" w:line="240" w:lineRule="auto"/>
        <w:ind w:right="120"/>
        <w:rPr>
          <w:rFonts w:eastAsia="Times New Roman" w:cs="Helvetica"/>
          <w:color w:val="000000"/>
          <w:lang w:eastAsia="en-AU"/>
        </w:rPr>
      </w:pPr>
      <w:r w:rsidRPr="00804591">
        <w:rPr>
          <w:rFonts w:eastAsia="Times New Roman" w:cs="Helvetica"/>
          <w:color w:val="000000"/>
          <w:lang w:eastAsia="en-AU"/>
        </w:rPr>
        <w:t>Course outline</w:t>
      </w:r>
      <w:r w:rsidR="00A96049" w:rsidRPr="00804591">
        <w:rPr>
          <w:rFonts w:eastAsia="Times New Roman" w:cs="Helvetica"/>
          <w:color w:val="000000"/>
          <w:lang w:eastAsia="en-AU"/>
        </w:rPr>
        <w:t>s</w:t>
      </w:r>
      <w:r w:rsidRPr="00804591">
        <w:rPr>
          <w:rFonts w:eastAsia="Times New Roman" w:cs="Helvetica"/>
          <w:color w:val="000000"/>
          <w:lang w:eastAsia="en-AU"/>
        </w:rPr>
        <w:t xml:space="preserve"> which clearly details learning outcomes, teaching and learning activities and assessment</w:t>
      </w:r>
    </w:p>
    <w:p w14:paraId="4C12822C" w14:textId="77777777" w:rsidR="00DE5C7D" w:rsidRPr="00804591" w:rsidRDefault="00DE5C7D" w:rsidP="00DE5C7D">
      <w:pPr>
        <w:spacing w:after="0"/>
      </w:pPr>
    </w:p>
    <w:p w14:paraId="7D18C080" w14:textId="77777777" w:rsidR="00DE5C7D" w:rsidRPr="00804591" w:rsidRDefault="00DE5C7D" w:rsidP="00DE5C7D">
      <w:pPr>
        <w:spacing w:after="0"/>
        <w:rPr>
          <w:b/>
        </w:rPr>
      </w:pPr>
      <w:r w:rsidRPr="00804591">
        <w:rPr>
          <w:b/>
        </w:rPr>
        <w:t xml:space="preserve">Criterion 2:  Instructional methods </w:t>
      </w:r>
    </w:p>
    <w:p w14:paraId="399DEBA2" w14:textId="77777777" w:rsidR="00DE5C7D" w:rsidRPr="00804591" w:rsidRDefault="00DE5C7D" w:rsidP="00DE5C7D">
      <w:pPr>
        <w:spacing w:after="0"/>
      </w:pPr>
      <w:r w:rsidRPr="00804591">
        <w:t xml:space="preserve">High quality teaching, for example including; lecturing, classroom, on-line, field, work-based, studio, laboratory, workshop, undergraduate and postgraduate teaching, and supervision of student research. Indicators departments may wish to consider include; </w:t>
      </w:r>
    </w:p>
    <w:p w14:paraId="7A656683" w14:textId="77777777" w:rsidR="00DE5C7D" w:rsidRPr="00804591" w:rsidRDefault="00DE5C7D" w:rsidP="00DE5C7D">
      <w:pPr>
        <w:numPr>
          <w:ilvl w:val="0"/>
          <w:numId w:val="4"/>
        </w:numPr>
        <w:spacing w:after="0" w:line="240" w:lineRule="auto"/>
        <w:ind w:right="120"/>
        <w:rPr>
          <w:rFonts w:eastAsia="Times New Roman" w:cs="Helvetica"/>
          <w:color w:val="000000"/>
          <w:lang w:eastAsia="en-AU"/>
        </w:rPr>
      </w:pPr>
      <w:r w:rsidRPr="00804591">
        <w:rPr>
          <w:rFonts w:eastAsia="Times New Roman" w:cs="Helvetica"/>
          <w:color w:val="000000"/>
          <w:lang w:eastAsia="en-AU"/>
        </w:rPr>
        <w:t>Evidence of a learning</w:t>
      </w:r>
      <w:r w:rsidRPr="00804591">
        <w:rPr>
          <w:rFonts w:eastAsia="Times New Roman" w:cs="Helvetica"/>
          <w:bCs/>
          <w:color w:val="000000"/>
          <w:lang w:eastAsia="en-AU"/>
        </w:rPr>
        <w:t>-centred approach to teaching</w:t>
      </w:r>
    </w:p>
    <w:p w14:paraId="1F1AA66E" w14:textId="77777777" w:rsidR="00DE5C7D" w:rsidRPr="00804591" w:rsidRDefault="00DE5C7D" w:rsidP="00DE5C7D">
      <w:pPr>
        <w:numPr>
          <w:ilvl w:val="0"/>
          <w:numId w:val="4"/>
        </w:numPr>
        <w:spacing w:after="0" w:line="240" w:lineRule="auto"/>
        <w:ind w:right="120"/>
        <w:rPr>
          <w:rFonts w:eastAsia="Times New Roman" w:cs="Helvetica"/>
          <w:color w:val="000000"/>
          <w:lang w:eastAsia="en-AU"/>
        </w:rPr>
      </w:pPr>
      <w:r w:rsidRPr="00804591">
        <w:rPr>
          <w:rFonts w:eastAsia="Times New Roman" w:cs="Helvetica"/>
          <w:bCs/>
          <w:color w:val="000000"/>
          <w:lang w:eastAsia="en-AU"/>
        </w:rPr>
        <w:t>Demonstrated understanding of specific aspects of effective teaching and learning support methods</w:t>
      </w:r>
    </w:p>
    <w:p w14:paraId="5C6F80BB" w14:textId="77777777" w:rsidR="00DE5C7D" w:rsidRPr="00804591" w:rsidRDefault="00DE5C7D" w:rsidP="00DE5C7D">
      <w:pPr>
        <w:numPr>
          <w:ilvl w:val="0"/>
          <w:numId w:val="4"/>
        </w:numPr>
        <w:spacing w:after="0" w:line="240" w:lineRule="auto"/>
        <w:ind w:right="120"/>
        <w:rPr>
          <w:rFonts w:eastAsia="Times New Roman" w:cs="Helvetica"/>
          <w:color w:val="000000"/>
          <w:lang w:eastAsia="en-AU"/>
        </w:rPr>
      </w:pPr>
      <w:r w:rsidRPr="00804591">
        <w:rPr>
          <w:rFonts w:eastAsia="Times New Roman" w:cs="Helvetica"/>
          <w:color w:val="000000"/>
          <w:lang w:eastAsia="en-AU"/>
        </w:rPr>
        <w:t>Clarity of communication and explanation</w:t>
      </w:r>
    </w:p>
    <w:p w14:paraId="3CAA7DAB" w14:textId="77777777" w:rsidR="00DE5C7D" w:rsidRPr="00804591" w:rsidRDefault="00DE5C7D" w:rsidP="00DE5C7D">
      <w:pPr>
        <w:numPr>
          <w:ilvl w:val="0"/>
          <w:numId w:val="4"/>
        </w:numPr>
        <w:spacing w:after="0" w:line="240" w:lineRule="auto"/>
        <w:ind w:right="120"/>
        <w:rPr>
          <w:rFonts w:eastAsia="Times New Roman" w:cs="Helvetica"/>
          <w:color w:val="000000"/>
          <w:lang w:eastAsia="en-AU"/>
        </w:rPr>
      </w:pPr>
      <w:r w:rsidRPr="00804591">
        <w:rPr>
          <w:rFonts w:eastAsia="Times New Roman" w:cs="Helvetica"/>
          <w:color w:val="000000"/>
          <w:lang w:eastAsia="en-AU"/>
        </w:rPr>
        <w:t>Stimulation of student interest</w:t>
      </w:r>
    </w:p>
    <w:p w14:paraId="73A3ECFF" w14:textId="77777777" w:rsidR="00DE5C7D" w:rsidRPr="00804591" w:rsidRDefault="00DE5C7D" w:rsidP="00DE5C7D">
      <w:pPr>
        <w:numPr>
          <w:ilvl w:val="0"/>
          <w:numId w:val="4"/>
        </w:numPr>
        <w:spacing w:after="0" w:line="240" w:lineRule="auto"/>
        <w:ind w:right="120"/>
        <w:rPr>
          <w:rFonts w:eastAsia="Times New Roman" w:cs="Helvetica"/>
          <w:color w:val="000000"/>
          <w:lang w:eastAsia="en-AU"/>
        </w:rPr>
      </w:pPr>
      <w:r w:rsidRPr="00804591">
        <w:rPr>
          <w:rFonts w:eastAsia="Times New Roman" w:cs="Helvetica"/>
          <w:color w:val="000000"/>
          <w:lang w:eastAsia="en-AU"/>
        </w:rPr>
        <w:t>Encouragement of  appropriate student-faculty interaction</w:t>
      </w:r>
    </w:p>
    <w:p w14:paraId="72C7F7B5" w14:textId="77777777" w:rsidR="00DE5C7D" w:rsidRPr="00804591" w:rsidRDefault="00DE5C7D" w:rsidP="00DE5C7D">
      <w:pPr>
        <w:numPr>
          <w:ilvl w:val="0"/>
          <w:numId w:val="4"/>
        </w:numPr>
        <w:spacing w:after="0" w:line="240" w:lineRule="auto"/>
        <w:ind w:right="120"/>
        <w:rPr>
          <w:rFonts w:eastAsia="Times New Roman" w:cs="Helvetica"/>
          <w:color w:val="000000"/>
          <w:lang w:eastAsia="en-AU"/>
        </w:rPr>
      </w:pPr>
      <w:r w:rsidRPr="00804591">
        <w:rPr>
          <w:rFonts w:eastAsia="Times New Roman" w:cs="Helvetica"/>
          <w:color w:val="000000"/>
          <w:lang w:eastAsia="en-AU"/>
        </w:rPr>
        <w:t>Encouragement of  appropriate student-student interaction</w:t>
      </w:r>
    </w:p>
    <w:p w14:paraId="7C76CB5E" w14:textId="77777777" w:rsidR="00DE5C7D" w:rsidRPr="00804591" w:rsidRDefault="00DE5C7D" w:rsidP="00DE5C7D">
      <w:pPr>
        <w:numPr>
          <w:ilvl w:val="0"/>
          <w:numId w:val="4"/>
        </w:numPr>
        <w:spacing w:after="0" w:line="240" w:lineRule="auto"/>
        <w:ind w:right="120"/>
        <w:rPr>
          <w:rFonts w:eastAsia="Times New Roman" w:cs="Helvetica"/>
          <w:color w:val="000000"/>
          <w:lang w:eastAsia="en-AU"/>
        </w:rPr>
      </w:pPr>
      <w:r w:rsidRPr="00804591">
        <w:rPr>
          <w:rFonts w:eastAsia="Times New Roman" w:cs="Helvetica"/>
          <w:bCs/>
          <w:color w:val="000000"/>
          <w:lang w:eastAsia="en-AU"/>
        </w:rPr>
        <w:t>Support of  students to develop and demonstrate the intended learning outcomes</w:t>
      </w:r>
    </w:p>
    <w:p w14:paraId="7464D5A6" w14:textId="77777777" w:rsidR="00DE5C7D" w:rsidRPr="00804591" w:rsidRDefault="00DE5C7D" w:rsidP="00DE5C7D">
      <w:pPr>
        <w:spacing w:after="0"/>
      </w:pPr>
    </w:p>
    <w:p w14:paraId="5B652EEC" w14:textId="77777777" w:rsidR="00DE5C7D" w:rsidRPr="00804591" w:rsidRDefault="00DE5C7D" w:rsidP="00DE5C7D">
      <w:pPr>
        <w:spacing w:after="0"/>
        <w:rPr>
          <w:b/>
        </w:rPr>
      </w:pPr>
      <w:r w:rsidRPr="00804591">
        <w:rPr>
          <w:b/>
        </w:rPr>
        <w:t>Criterion 3:  Assessment and feedback to students</w:t>
      </w:r>
    </w:p>
    <w:p w14:paraId="53C60A0C" w14:textId="77777777" w:rsidR="00DE5C7D" w:rsidRPr="00804591" w:rsidRDefault="00DE5C7D" w:rsidP="00DE5C7D">
      <w:pPr>
        <w:spacing w:after="0"/>
      </w:pPr>
      <w:r w:rsidRPr="00804591">
        <w:t xml:space="preserve">Design and execution of assessment tasks that align with intended learning outcomes, and the provision of appropriate and timely feedback. Indicators departments may wish to consider include: </w:t>
      </w:r>
    </w:p>
    <w:p w14:paraId="6F7C40EE" w14:textId="77777777" w:rsidR="00DE5C7D" w:rsidRPr="00804591" w:rsidRDefault="00DE5C7D" w:rsidP="00DE5C7D">
      <w:pPr>
        <w:pStyle w:val="ListParagraph"/>
        <w:numPr>
          <w:ilvl w:val="0"/>
          <w:numId w:val="2"/>
        </w:numPr>
        <w:spacing w:after="0" w:line="240" w:lineRule="auto"/>
        <w:ind w:left="720" w:right="120"/>
        <w:rPr>
          <w:rFonts w:eastAsia="Times New Roman" w:cs="Helvetica"/>
          <w:color w:val="000000"/>
          <w:lang w:eastAsia="en-AU"/>
        </w:rPr>
      </w:pPr>
      <w:r w:rsidRPr="00804591">
        <w:rPr>
          <w:rFonts w:eastAsia="Times New Roman" w:cs="Helvetica"/>
          <w:color w:val="000000"/>
          <w:lang w:eastAsia="en-AU"/>
        </w:rPr>
        <w:t xml:space="preserve">Quality, clarity, and appropriateness of level of assessment tools </w:t>
      </w:r>
    </w:p>
    <w:p w14:paraId="0CD3CABF" w14:textId="77777777" w:rsidR="00DE5C7D" w:rsidRPr="00804591" w:rsidRDefault="00DE5C7D" w:rsidP="00DE5C7D">
      <w:pPr>
        <w:pStyle w:val="ListParagraph"/>
        <w:numPr>
          <w:ilvl w:val="0"/>
          <w:numId w:val="2"/>
        </w:numPr>
        <w:spacing w:after="0" w:line="240" w:lineRule="auto"/>
        <w:ind w:left="720" w:right="120"/>
        <w:rPr>
          <w:rFonts w:eastAsia="Times New Roman" w:cs="Helvetica"/>
          <w:color w:val="000000"/>
          <w:lang w:eastAsia="en-AU"/>
        </w:rPr>
      </w:pPr>
      <w:r w:rsidRPr="00804591">
        <w:rPr>
          <w:rFonts w:eastAsia="Times New Roman" w:cs="Helvetica"/>
          <w:color w:val="000000"/>
          <w:lang w:eastAsia="en-AU"/>
        </w:rPr>
        <w:t xml:space="preserve">Alignment with learning outcomes </w:t>
      </w:r>
    </w:p>
    <w:p w14:paraId="3415C499" w14:textId="77777777" w:rsidR="00DE5C7D" w:rsidRPr="00804591" w:rsidRDefault="00DE5C7D" w:rsidP="00DE5C7D">
      <w:pPr>
        <w:pStyle w:val="ListParagraph"/>
        <w:numPr>
          <w:ilvl w:val="0"/>
          <w:numId w:val="2"/>
        </w:numPr>
        <w:tabs>
          <w:tab w:val="num" w:pos="360"/>
        </w:tabs>
        <w:spacing w:after="0" w:line="240" w:lineRule="auto"/>
        <w:ind w:left="720" w:right="120"/>
        <w:rPr>
          <w:rFonts w:eastAsia="Times New Roman" w:cs="Helvetica"/>
          <w:color w:val="000000"/>
          <w:lang w:eastAsia="en-AU"/>
        </w:rPr>
      </w:pPr>
      <w:r w:rsidRPr="00804591">
        <w:rPr>
          <w:rFonts w:eastAsia="Times New Roman" w:cs="Helvetica"/>
          <w:bCs/>
          <w:color w:val="000000"/>
          <w:lang w:eastAsia="en-AU"/>
        </w:rPr>
        <w:t>Timely feedback is provided to students</w:t>
      </w:r>
    </w:p>
    <w:p w14:paraId="4223F8CC" w14:textId="77777777" w:rsidR="00DE5C7D" w:rsidRPr="00804591" w:rsidRDefault="00DE5C7D" w:rsidP="00DE5C7D">
      <w:pPr>
        <w:pStyle w:val="ListParagraph"/>
        <w:numPr>
          <w:ilvl w:val="0"/>
          <w:numId w:val="2"/>
        </w:numPr>
        <w:spacing w:after="0" w:line="240" w:lineRule="auto"/>
        <w:ind w:left="720"/>
      </w:pPr>
      <w:r w:rsidRPr="00804591">
        <w:rPr>
          <w:rFonts w:eastAsia="Times New Roman" w:cs="Helvetica"/>
          <w:color w:val="000000"/>
          <w:lang w:eastAsia="en-AU"/>
        </w:rPr>
        <w:t>Constructive feedback is provided to students</w:t>
      </w:r>
    </w:p>
    <w:p w14:paraId="790C946E" w14:textId="77777777" w:rsidR="00DE5C7D" w:rsidRPr="00804591" w:rsidRDefault="00DE5C7D" w:rsidP="00DE5C7D">
      <w:pPr>
        <w:pStyle w:val="ListParagraph"/>
        <w:spacing w:after="0" w:line="240" w:lineRule="auto"/>
      </w:pPr>
    </w:p>
    <w:p w14:paraId="43EE5C1B" w14:textId="77777777" w:rsidR="00136D53" w:rsidRDefault="00136D53" w:rsidP="00DE5C7D">
      <w:pPr>
        <w:spacing w:after="0"/>
        <w:rPr>
          <w:b/>
        </w:rPr>
      </w:pPr>
    </w:p>
    <w:p w14:paraId="2A504E94" w14:textId="77777777" w:rsidR="00136D53" w:rsidRDefault="00136D53" w:rsidP="00DE5C7D">
      <w:pPr>
        <w:spacing w:after="0"/>
        <w:rPr>
          <w:b/>
        </w:rPr>
      </w:pPr>
    </w:p>
    <w:p w14:paraId="72A7367F" w14:textId="77777777" w:rsidR="00DE5C7D" w:rsidRPr="00804591" w:rsidRDefault="00DE5C7D" w:rsidP="00DE5C7D">
      <w:pPr>
        <w:spacing w:after="0"/>
      </w:pPr>
      <w:r w:rsidRPr="00804591">
        <w:rPr>
          <w:b/>
        </w:rPr>
        <w:lastRenderedPageBreak/>
        <w:t xml:space="preserve">Criterion 4:  Developing effective and supportive environments for students. </w:t>
      </w:r>
      <w:r w:rsidRPr="00804591">
        <w:t xml:space="preserve">Activities related to the creation of an engaging learning environment for students. This might include supporting transition, and accounting for and encouraging equity and diversity in learning environments. Indicators departments may wish to consider include: </w:t>
      </w:r>
    </w:p>
    <w:p w14:paraId="13E28DC4" w14:textId="77777777" w:rsidR="00DE5C7D" w:rsidRPr="00804591" w:rsidRDefault="00DE5C7D" w:rsidP="00DE5C7D">
      <w:pPr>
        <w:numPr>
          <w:ilvl w:val="0"/>
          <w:numId w:val="5"/>
        </w:numPr>
        <w:spacing w:after="0" w:line="240" w:lineRule="auto"/>
        <w:ind w:right="120"/>
        <w:rPr>
          <w:rFonts w:eastAsia="Times New Roman" w:cs="Helvetica"/>
          <w:color w:val="000000"/>
          <w:lang w:eastAsia="en-AU"/>
        </w:rPr>
      </w:pPr>
      <w:r w:rsidRPr="00804591">
        <w:t xml:space="preserve"> </w:t>
      </w:r>
      <w:r w:rsidRPr="00804591">
        <w:rPr>
          <w:rFonts w:eastAsia="Times New Roman" w:cs="Helvetica"/>
          <w:bCs/>
          <w:color w:val="000000"/>
          <w:lang w:eastAsia="en-AU"/>
        </w:rPr>
        <w:t>Creation of effective learning environments (in classroom/ online/work placement etc.)</w:t>
      </w:r>
    </w:p>
    <w:p w14:paraId="756553C5" w14:textId="77777777" w:rsidR="00DE5C7D" w:rsidRPr="00804591" w:rsidRDefault="00DE5C7D" w:rsidP="00DE5C7D">
      <w:pPr>
        <w:numPr>
          <w:ilvl w:val="0"/>
          <w:numId w:val="5"/>
        </w:numPr>
        <w:spacing w:after="0" w:line="240" w:lineRule="auto"/>
        <w:ind w:right="120"/>
        <w:rPr>
          <w:rFonts w:eastAsia="Times New Roman" w:cs="Helvetica"/>
          <w:color w:val="000000"/>
          <w:lang w:eastAsia="en-AU"/>
        </w:rPr>
      </w:pPr>
      <w:r w:rsidRPr="00804591">
        <w:rPr>
          <w:rFonts w:eastAsia="Times New Roman" w:cs="Helvetica"/>
          <w:color w:val="000000"/>
          <w:lang w:eastAsia="en-AU"/>
        </w:rPr>
        <w:t>Direction of  students to appropriate support and services</w:t>
      </w:r>
    </w:p>
    <w:p w14:paraId="4B4B95EA" w14:textId="77777777" w:rsidR="00DE5C7D" w:rsidRPr="00804591" w:rsidRDefault="00DE5C7D" w:rsidP="00DE5C7D">
      <w:pPr>
        <w:numPr>
          <w:ilvl w:val="0"/>
          <w:numId w:val="5"/>
        </w:numPr>
        <w:spacing w:after="0" w:line="240" w:lineRule="auto"/>
        <w:ind w:right="120"/>
        <w:rPr>
          <w:rFonts w:eastAsia="Times New Roman" w:cs="Helvetica"/>
          <w:color w:val="000000"/>
          <w:lang w:eastAsia="en-AU"/>
        </w:rPr>
      </w:pPr>
      <w:r w:rsidRPr="00804591">
        <w:rPr>
          <w:rFonts w:eastAsia="Times New Roman" w:cs="Helvetica"/>
          <w:color w:val="000000"/>
          <w:lang w:eastAsia="en-AU"/>
        </w:rPr>
        <w:t>Respect for students and fostering student respect for others</w:t>
      </w:r>
    </w:p>
    <w:p w14:paraId="2DC31AD5" w14:textId="77777777" w:rsidR="00DE5C7D" w:rsidRPr="00804591" w:rsidRDefault="00DE5C7D" w:rsidP="00DE5C7D">
      <w:pPr>
        <w:numPr>
          <w:ilvl w:val="0"/>
          <w:numId w:val="5"/>
        </w:numPr>
        <w:spacing w:after="0" w:line="240" w:lineRule="auto"/>
        <w:ind w:right="120"/>
        <w:rPr>
          <w:rFonts w:eastAsia="Times New Roman" w:cs="Helvetica"/>
          <w:color w:val="000000"/>
          <w:lang w:eastAsia="en-AU"/>
        </w:rPr>
      </w:pPr>
      <w:r w:rsidRPr="00804591">
        <w:rPr>
          <w:rFonts w:eastAsia="Times New Roman" w:cs="Helvetica"/>
          <w:color w:val="000000"/>
          <w:lang w:eastAsia="en-AU"/>
        </w:rPr>
        <w:t>Availability for consultation (e.g. email, online, face-to-face or telephone)</w:t>
      </w:r>
    </w:p>
    <w:p w14:paraId="30E93BA4" w14:textId="77777777" w:rsidR="00DE5C7D" w:rsidRPr="00804591" w:rsidRDefault="00DE5C7D" w:rsidP="00DE5C7D">
      <w:pPr>
        <w:spacing w:after="0"/>
        <w:rPr>
          <w:rFonts w:eastAsia="Times New Roman" w:cs="Helvetica"/>
          <w:color w:val="000000"/>
          <w:lang w:eastAsia="en-AU"/>
        </w:rPr>
      </w:pPr>
    </w:p>
    <w:p w14:paraId="7EA1C962" w14:textId="77777777" w:rsidR="00DE5C7D" w:rsidRPr="00804591" w:rsidRDefault="00DE5C7D" w:rsidP="00DE5C7D">
      <w:pPr>
        <w:spacing w:after="0"/>
      </w:pPr>
      <w:r w:rsidRPr="00804591">
        <w:rPr>
          <w:b/>
        </w:rPr>
        <w:t xml:space="preserve">Criterion 5: Integration of scholarship, research and professional activities in support of learning. </w:t>
      </w:r>
      <w:r w:rsidRPr="00804591">
        <w:t xml:space="preserve">Three components have been identified for departmental consideration: </w:t>
      </w:r>
    </w:p>
    <w:p w14:paraId="1FB7A765" w14:textId="77777777" w:rsidR="00DE5C7D" w:rsidRPr="00804591" w:rsidRDefault="00DE5C7D" w:rsidP="00DE5C7D">
      <w:pPr>
        <w:spacing w:after="0"/>
      </w:pPr>
    </w:p>
    <w:p w14:paraId="639D8BA8" w14:textId="77777777" w:rsidR="00DE5C7D" w:rsidRPr="00804591" w:rsidRDefault="00DE5C7D" w:rsidP="00804591">
      <w:pPr>
        <w:spacing w:after="0"/>
        <w:ind w:left="450"/>
        <w:rPr>
          <w:b/>
          <w:i/>
        </w:rPr>
      </w:pPr>
      <w:r w:rsidRPr="00804591">
        <w:rPr>
          <w:b/>
          <w:i/>
        </w:rPr>
        <w:t>1: Teaching and learning research is incorporated into teaching practice. Possible indicators:</w:t>
      </w:r>
    </w:p>
    <w:p w14:paraId="2E038E30" w14:textId="77777777" w:rsidR="00DE5C7D" w:rsidRPr="00804591" w:rsidRDefault="00DE5C7D" w:rsidP="00804591">
      <w:pPr>
        <w:numPr>
          <w:ilvl w:val="0"/>
          <w:numId w:val="6"/>
        </w:numPr>
        <w:tabs>
          <w:tab w:val="clear" w:pos="810"/>
          <w:tab w:val="num" w:pos="1260"/>
        </w:tabs>
        <w:spacing w:after="0" w:line="240" w:lineRule="auto"/>
        <w:ind w:left="1260" w:right="120"/>
        <w:rPr>
          <w:rFonts w:eastAsia="Times New Roman" w:cs="Helvetica"/>
          <w:color w:val="000000"/>
          <w:lang w:eastAsia="en-AU"/>
        </w:rPr>
      </w:pPr>
      <w:r w:rsidRPr="00804591">
        <w:rPr>
          <w:rFonts w:eastAsia="Times New Roman" w:cs="Helvetica"/>
          <w:bCs/>
          <w:color w:val="000000"/>
          <w:lang w:eastAsia="en-AU"/>
        </w:rPr>
        <w:t xml:space="preserve">Engagement in professional development related to teaching and learning </w:t>
      </w:r>
      <w:r w:rsidRPr="00804591">
        <w:rPr>
          <w:rFonts w:eastAsia="Times New Roman" w:cs="Helvetica"/>
          <w:color w:val="000000"/>
          <w:lang w:eastAsia="en-AU"/>
        </w:rPr>
        <w:t>(including engagement in teaching and learning scholarship related to discipline and/or participation in teaching and learning conferences/ forums)</w:t>
      </w:r>
    </w:p>
    <w:p w14:paraId="59729F54" w14:textId="77777777" w:rsidR="00DE5C7D" w:rsidRPr="00804591" w:rsidRDefault="00DE5C7D" w:rsidP="00804591">
      <w:pPr>
        <w:numPr>
          <w:ilvl w:val="0"/>
          <w:numId w:val="6"/>
        </w:numPr>
        <w:spacing w:after="0" w:line="240" w:lineRule="auto"/>
        <w:ind w:left="1260" w:right="120"/>
        <w:rPr>
          <w:rFonts w:eastAsia="Times New Roman" w:cs="Helvetica"/>
          <w:color w:val="000000"/>
          <w:lang w:eastAsia="en-AU"/>
        </w:rPr>
      </w:pPr>
      <w:r w:rsidRPr="00804591">
        <w:rPr>
          <w:rFonts w:eastAsia="Times New Roman" w:cs="Helvetica"/>
          <w:bCs/>
          <w:color w:val="000000"/>
          <w:lang w:eastAsia="en-AU"/>
        </w:rPr>
        <w:t>Incorporation of teaching and learning scholarship into teaching practice and curriculum development</w:t>
      </w:r>
    </w:p>
    <w:p w14:paraId="1D5735D4" w14:textId="77777777" w:rsidR="00DE5C7D" w:rsidRPr="00804591" w:rsidRDefault="00DE5C7D" w:rsidP="00804591">
      <w:pPr>
        <w:spacing w:after="0"/>
        <w:ind w:left="450"/>
        <w:rPr>
          <w:rFonts w:eastAsia="Times New Roman" w:cs="Helvetica"/>
          <w:color w:val="000000"/>
          <w:lang w:eastAsia="en-AU"/>
        </w:rPr>
      </w:pPr>
    </w:p>
    <w:p w14:paraId="35B8D777" w14:textId="77777777" w:rsidR="00DE5C7D" w:rsidRPr="00804591" w:rsidRDefault="00DE5C7D" w:rsidP="00804591">
      <w:pPr>
        <w:spacing w:after="0"/>
        <w:ind w:left="450"/>
        <w:rPr>
          <w:rFonts w:eastAsia="Times New Roman" w:cs="Helvetica"/>
          <w:b/>
          <w:i/>
          <w:color w:val="000000"/>
          <w:lang w:eastAsia="en-AU"/>
        </w:rPr>
      </w:pPr>
      <w:r w:rsidRPr="00804591">
        <w:rPr>
          <w:rFonts w:eastAsia="Times New Roman" w:cs="Helvetica"/>
          <w:i/>
          <w:color w:val="000000"/>
          <w:lang w:eastAsia="en-AU"/>
        </w:rPr>
        <w:t>2</w:t>
      </w:r>
      <w:r w:rsidRPr="00804591">
        <w:rPr>
          <w:rFonts w:eastAsia="Times New Roman" w:cs="Helvetica"/>
          <w:b/>
          <w:i/>
          <w:color w:val="000000"/>
          <w:lang w:eastAsia="en-AU"/>
        </w:rPr>
        <w:t>: Inclusion of discipline-based research in the curriculum and engagement of students in pedagogically sound discipline based research</w:t>
      </w:r>
    </w:p>
    <w:p w14:paraId="0F2EB4B8" w14:textId="77777777" w:rsidR="00DE5C7D" w:rsidRPr="00804591" w:rsidRDefault="00DE5C7D" w:rsidP="00804591">
      <w:pPr>
        <w:pStyle w:val="ListParagraph"/>
        <w:numPr>
          <w:ilvl w:val="0"/>
          <w:numId w:val="7"/>
        </w:numPr>
        <w:spacing w:after="0" w:line="240" w:lineRule="auto"/>
        <w:ind w:left="1260" w:right="120"/>
        <w:rPr>
          <w:rFonts w:eastAsia="Times New Roman" w:cs="Helvetica"/>
          <w:color w:val="000000"/>
          <w:lang w:eastAsia="en-AU"/>
        </w:rPr>
      </w:pPr>
      <w:r w:rsidRPr="00804591">
        <w:rPr>
          <w:rFonts w:eastAsia="Times New Roman" w:cs="Helvetica"/>
          <w:color w:val="000000"/>
          <w:lang w:eastAsia="en-AU"/>
        </w:rPr>
        <w:t>Use of current disciplinary research in curriculum and teaching activities</w:t>
      </w:r>
    </w:p>
    <w:p w14:paraId="0DD7AB12" w14:textId="77777777" w:rsidR="00DE5C7D" w:rsidRPr="00804591" w:rsidRDefault="00DE5C7D" w:rsidP="00804591">
      <w:pPr>
        <w:pStyle w:val="ListParagraph"/>
        <w:numPr>
          <w:ilvl w:val="0"/>
          <w:numId w:val="7"/>
        </w:numPr>
        <w:spacing w:after="0" w:line="240" w:lineRule="auto"/>
        <w:ind w:left="1260" w:right="120"/>
        <w:rPr>
          <w:rFonts w:eastAsia="Times New Roman" w:cs="Helvetica"/>
          <w:color w:val="000000"/>
          <w:lang w:eastAsia="en-AU"/>
        </w:rPr>
      </w:pPr>
      <w:r w:rsidRPr="00804591">
        <w:rPr>
          <w:rFonts w:eastAsia="Times New Roman" w:cs="Helvetica"/>
          <w:bCs/>
          <w:color w:val="000000"/>
          <w:lang w:eastAsia="en-AU"/>
        </w:rPr>
        <w:t>Develops learning activities/course/</w:t>
      </w:r>
      <w:r w:rsidRPr="00804591">
        <w:rPr>
          <w:rFonts w:eastAsia="Times New Roman" w:cs="Helvetica"/>
          <w:color w:val="000000"/>
          <w:lang w:eastAsia="en-AU"/>
        </w:rPr>
        <w:t xml:space="preserve"> </w:t>
      </w:r>
      <w:r w:rsidRPr="00804591">
        <w:rPr>
          <w:rFonts w:eastAsia="Times New Roman" w:cs="Helvetica"/>
          <w:bCs/>
          <w:color w:val="000000"/>
          <w:lang w:eastAsia="en-AU"/>
        </w:rPr>
        <w:t>course work that supports student engagement in research</w:t>
      </w:r>
    </w:p>
    <w:p w14:paraId="25CA9C2B" w14:textId="77777777" w:rsidR="00DE5C7D" w:rsidRPr="00804591" w:rsidRDefault="00DE5C7D" w:rsidP="00804591">
      <w:pPr>
        <w:pStyle w:val="ListParagraph"/>
        <w:numPr>
          <w:ilvl w:val="0"/>
          <w:numId w:val="7"/>
        </w:numPr>
        <w:spacing w:after="0" w:line="240" w:lineRule="auto"/>
        <w:ind w:left="1260" w:right="120"/>
        <w:rPr>
          <w:rFonts w:eastAsia="Times New Roman" w:cs="Helvetica"/>
          <w:color w:val="000000"/>
          <w:lang w:eastAsia="en-AU"/>
        </w:rPr>
      </w:pPr>
      <w:r w:rsidRPr="00804591">
        <w:rPr>
          <w:rFonts w:eastAsia="Times New Roman" w:cs="Helvetica"/>
          <w:color w:val="000000"/>
          <w:lang w:eastAsia="en-AU"/>
        </w:rPr>
        <w:t>Develops student understanding of the research culture and research skills of the discipline</w:t>
      </w:r>
    </w:p>
    <w:p w14:paraId="68D5F429" w14:textId="77777777" w:rsidR="00DE5C7D" w:rsidRPr="00804591" w:rsidRDefault="00DE5C7D" w:rsidP="00804591">
      <w:pPr>
        <w:spacing w:after="0"/>
        <w:ind w:left="450" w:right="120"/>
        <w:rPr>
          <w:rFonts w:eastAsia="Times New Roman" w:cs="Helvetica"/>
          <w:color w:val="000000"/>
          <w:lang w:eastAsia="en-AU"/>
        </w:rPr>
      </w:pPr>
    </w:p>
    <w:p w14:paraId="7304C13A" w14:textId="77777777" w:rsidR="00DE5C7D" w:rsidRPr="00804591" w:rsidRDefault="00DE5C7D" w:rsidP="00804591">
      <w:pPr>
        <w:spacing w:after="0"/>
        <w:ind w:left="450" w:right="120"/>
        <w:rPr>
          <w:rFonts w:eastAsia="Times New Roman" w:cs="Helvetica"/>
          <w:b/>
          <w:i/>
          <w:color w:val="000000"/>
          <w:lang w:eastAsia="en-AU"/>
        </w:rPr>
      </w:pPr>
      <w:r w:rsidRPr="00804591">
        <w:rPr>
          <w:rFonts w:eastAsia="Times New Roman" w:cs="Helvetica"/>
          <w:b/>
          <w:i/>
          <w:color w:val="000000"/>
          <w:lang w:eastAsia="en-AU"/>
        </w:rPr>
        <w:t>3: Incorporation of professional, industry and work-based practice and experiences into teaching practice and the curriculum</w:t>
      </w:r>
    </w:p>
    <w:p w14:paraId="1875C356" w14:textId="77777777" w:rsidR="00DE5C7D" w:rsidRPr="00804591" w:rsidRDefault="00DE5C7D" w:rsidP="00804591">
      <w:pPr>
        <w:pStyle w:val="ListParagraph"/>
        <w:numPr>
          <w:ilvl w:val="0"/>
          <w:numId w:val="8"/>
        </w:numPr>
        <w:spacing w:after="0" w:line="240" w:lineRule="auto"/>
        <w:ind w:left="1260" w:right="120"/>
        <w:rPr>
          <w:rFonts w:eastAsia="Times New Roman" w:cs="Helvetica"/>
          <w:color w:val="000000"/>
          <w:lang w:eastAsia="en-AU"/>
        </w:rPr>
      </w:pPr>
      <w:r w:rsidRPr="00804591">
        <w:rPr>
          <w:rFonts w:eastAsia="Times New Roman" w:cs="Helvetica"/>
          <w:color w:val="000000"/>
          <w:lang w:eastAsia="en-AU"/>
        </w:rPr>
        <w:t>Use of authentic case studies, integration of industry experience and/or partnerships in teaching</w:t>
      </w:r>
    </w:p>
    <w:p w14:paraId="78D3780E" w14:textId="77777777" w:rsidR="00DE5C7D" w:rsidRPr="00804591" w:rsidRDefault="00DE5C7D" w:rsidP="00DE5C7D">
      <w:pPr>
        <w:spacing w:after="0"/>
        <w:ind w:right="119"/>
        <w:rPr>
          <w:rFonts w:eastAsia="Times New Roman" w:cs="Helvetica"/>
          <w:b/>
          <w:color w:val="000000"/>
          <w:lang w:eastAsia="en-AU"/>
        </w:rPr>
      </w:pPr>
    </w:p>
    <w:p w14:paraId="63B1ABAB" w14:textId="77777777" w:rsidR="00DE5C7D" w:rsidRPr="00804591" w:rsidRDefault="00DE5C7D" w:rsidP="00DE5C7D">
      <w:pPr>
        <w:spacing w:after="0"/>
        <w:ind w:right="119"/>
        <w:rPr>
          <w:rFonts w:eastAsia="Times New Roman" w:cs="Helvetica"/>
          <w:b/>
          <w:color w:val="000000"/>
          <w:lang w:eastAsia="en-AU"/>
        </w:rPr>
      </w:pPr>
      <w:r w:rsidRPr="00804591">
        <w:rPr>
          <w:rFonts w:eastAsia="Times New Roman" w:cs="Helvetica"/>
          <w:b/>
          <w:color w:val="000000"/>
          <w:lang w:eastAsia="en-AU"/>
        </w:rPr>
        <w:t xml:space="preserve">Criterion 6:  Improvement-oriented self-assessment and  continuing professional development. Indicators might include: </w:t>
      </w:r>
    </w:p>
    <w:p w14:paraId="32139F41" w14:textId="77777777" w:rsidR="00DE5C7D" w:rsidRPr="00804591" w:rsidRDefault="00DE5C7D" w:rsidP="00DE5C7D">
      <w:pPr>
        <w:pStyle w:val="ListParagraph"/>
        <w:numPr>
          <w:ilvl w:val="0"/>
          <w:numId w:val="8"/>
        </w:numPr>
        <w:spacing w:after="0" w:line="240" w:lineRule="auto"/>
        <w:ind w:right="119"/>
        <w:rPr>
          <w:rFonts w:eastAsia="Times New Roman" w:cs="Helvetica"/>
          <w:color w:val="000000"/>
          <w:lang w:eastAsia="en-AU"/>
        </w:rPr>
      </w:pPr>
      <w:r w:rsidRPr="00804591">
        <w:rPr>
          <w:rFonts w:eastAsia="Times New Roman" w:cs="Helvetica"/>
          <w:bCs/>
          <w:color w:val="000000"/>
          <w:lang w:eastAsia="en-AU"/>
        </w:rPr>
        <w:t>Engagement in professional development activities related to teaching and learning</w:t>
      </w:r>
    </w:p>
    <w:p w14:paraId="35D15C2D" w14:textId="77777777" w:rsidR="00DE5C7D" w:rsidRPr="00804591" w:rsidRDefault="00DE5C7D" w:rsidP="00DE5C7D">
      <w:pPr>
        <w:pStyle w:val="ListParagraph"/>
        <w:numPr>
          <w:ilvl w:val="0"/>
          <w:numId w:val="8"/>
        </w:numPr>
        <w:spacing w:after="0" w:line="240" w:lineRule="auto"/>
        <w:ind w:right="119"/>
        <w:rPr>
          <w:rFonts w:eastAsia="Times New Roman" w:cs="Helvetica"/>
          <w:color w:val="000000"/>
          <w:lang w:eastAsia="en-AU"/>
        </w:rPr>
      </w:pPr>
      <w:r w:rsidRPr="00804591">
        <w:rPr>
          <w:rFonts w:eastAsia="Times New Roman" w:cs="Helvetica"/>
          <w:color w:val="000000"/>
          <w:lang w:eastAsia="en-AU"/>
        </w:rPr>
        <w:t>Self-evaluation leading to changes in teaching practice</w:t>
      </w:r>
    </w:p>
    <w:p w14:paraId="3BCA02D7" w14:textId="77777777" w:rsidR="00DE5C7D" w:rsidRPr="00804591" w:rsidRDefault="00DE5C7D" w:rsidP="00DE5C7D">
      <w:pPr>
        <w:spacing w:after="0"/>
        <w:ind w:right="119"/>
        <w:rPr>
          <w:rFonts w:eastAsia="Times New Roman" w:cs="Helvetica"/>
          <w:b/>
          <w:color w:val="000000"/>
          <w:lang w:eastAsia="en-AU"/>
        </w:rPr>
      </w:pPr>
    </w:p>
    <w:p w14:paraId="4FDBB970" w14:textId="77777777" w:rsidR="00DE5C7D" w:rsidRPr="00804591" w:rsidRDefault="00DE5C7D" w:rsidP="00DE5C7D">
      <w:pPr>
        <w:spacing w:after="0"/>
        <w:ind w:right="119"/>
        <w:rPr>
          <w:rFonts w:eastAsia="Times New Roman" w:cs="Helvetica"/>
          <w:b/>
          <w:color w:val="000000"/>
          <w:lang w:eastAsia="en-AU"/>
        </w:rPr>
      </w:pPr>
      <w:r w:rsidRPr="00804591">
        <w:rPr>
          <w:rFonts w:eastAsia="Times New Roman" w:cs="Helvetica"/>
          <w:b/>
          <w:color w:val="000000"/>
          <w:lang w:eastAsia="en-AU"/>
        </w:rPr>
        <w:t xml:space="preserve">Criterion 7 Professional and personal effectiveness. Indicators might include: </w:t>
      </w:r>
    </w:p>
    <w:p w14:paraId="3B65D488" w14:textId="77777777" w:rsidR="00DE5C7D" w:rsidRPr="00804591" w:rsidRDefault="00DE5C7D" w:rsidP="00DE5C7D">
      <w:pPr>
        <w:pStyle w:val="ListParagraph"/>
        <w:numPr>
          <w:ilvl w:val="0"/>
          <w:numId w:val="3"/>
        </w:numPr>
        <w:spacing w:after="0" w:line="240" w:lineRule="auto"/>
        <w:ind w:right="120"/>
        <w:rPr>
          <w:rFonts w:eastAsia="Times New Roman" w:cs="Helvetica"/>
          <w:color w:val="000000"/>
          <w:lang w:eastAsia="en-AU"/>
        </w:rPr>
      </w:pPr>
      <w:r w:rsidRPr="00804591">
        <w:rPr>
          <w:rFonts w:eastAsia="Times New Roman" w:cs="Helvetica"/>
          <w:color w:val="000000"/>
          <w:lang w:eastAsia="en-AU"/>
        </w:rPr>
        <w:t>Taking ownership and management of teaching role</w:t>
      </w:r>
    </w:p>
    <w:p w14:paraId="4C972CE3" w14:textId="77777777" w:rsidR="00DE5C7D" w:rsidRPr="00804591" w:rsidRDefault="00DE5C7D" w:rsidP="00DE5C7D">
      <w:pPr>
        <w:pStyle w:val="ListParagraph"/>
        <w:numPr>
          <w:ilvl w:val="0"/>
          <w:numId w:val="3"/>
        </w:numPr>
        <w:spacing w:after="0" w:line="240" w:lineRule="auto"/>
        <w:ind w:right="120"/>
        <w:rPr>
          <w:rFonts w:eastAsia="Times New Roman" w:cs="Helvetica"/>
          <w:color w:val="000000"/>
          <w:lang w:eastAsia="en-AU"/>
        </w:rPr>
      </w:pPr>
      <w:r w:rsidRPr="00804591">
        <w:rPr>
          <w:rFonts w:eastAsia="Times New Roman" w:cs="Helvetica"/>
          <w:color w:val="000000"/>
          <w:lang w:eastAsia="en-AU"/>
        </w:rPr>
        <w:t>Demonstrating effective preparation and prioritization</w:t>
      </w:r>
    </w:p>
    <w:p w14:paraId="5EA1E53E" w14:textId="77777777" w:rsidR="00DE5C7D" w:rsidRPr="00804591" w:rsidRDefault="00DE5C7D" w:rsidP="00DE5C7D">
      <w:pPr>
        <w:pStyle w:val="ListParagraph"/>
        <w:numPr>
          <w:ilvl w:val="0"/>
          <w:numId w:val="3"/>
        </w:numPr>
        <w:spacing w:after="0" w:line="240" w:lineRule="auto"/>
        <w:ind w:right="120"/>
        <w:rPr>
          <w:rFonts w:eastAsia="Times New Roman" w:cs="Helvetica"/>
          <w:color w:val="000000"/>
          <w:lang w:eastAsia="en-AU"/>
        </w:rPr>
      </w:pPr>
      <w:r w:rsidRPr="00804591">
        <w:rPr>
          <w:rFonts w:eastAsia="Times New Roman" w:cs="Helvetica"/>
          <w:color w:val="000000"/>
          <w:lang w:eastAsia="en-AU"/>
        </w:rPr>
        <w:t>Responding positively to opportunities and new approaches</w:t>
      </w:r>
    </w:p>
    <w:p w14:paraId="03E46121" w14:textId="77777777" w:rsidR="00DE5C7D" w:rsidRPr="00804591" w:rsidRDefault="00DE5C7D" w:rsidP="00DE5C7D">
      <w:pPr>
        <w:pStyle w:val="ListParagraph"/>
        <w:numPr>
          <w:ilvl w:val="0"/>
          <w:numId w:val="3"/>
        </w:numPr>
        <w:spacing w:after="0" w:line="240" w:lineRule="auto"/>
        <w:ind w:right="120"/>
        <w:rPr>
          <w:rFonts w:eastAsia="Times New Roman" w:cs="Helvetica"/>
          <w:color w:val="000000"/>
          <w:lang w:eastAsia="en-AU"/>
        </w:rPr>
      </w:pPr>
      <w:r w:rsidRPr="00804591">
        <w:rPr>
          <w:rFonts w:eastAsia="Times New Roman" w:cs="Helvetica"/>
          <w:color w:val="000000"/>
          <w:lang w:eastAsia="en-AU"/>
        </w:rPr>
        <w:t>Communicating effectively in both formal and informal contexts</w:t>
      </w:r>
    </w:p>
    <w:p w14:paraId="6B6EEE27" w14:textId="77777777" w:rsidR="00DE5C7D" w:rsidRPr="00804591" w:rsidRDefault="00DE5C7D" w:rsidP="00DE5C7D">
      <w:pPr>
        <w:pStyle w:val="ListParagraph"/>
        <w:numPr>
          <w:ilvl w:val="0"/>
          <w:numId w:val="3"/>
        </w:numPr>
        <w:spacing w:after="0" w:line="240" w:lineRule="auto"/>
        <w:ind w:right="120"/>
        <w:rPr>
          <w:rFonts w:eastAsia="Times New Roman" w:cs="Helvetica"/>
          <w:color w:val="000000"/>
          <w:lang w:eastAsia="en-AU"/>
        </w:rPr>
      </w:pPr>
      <w:r w:rsidRPr="00804591">
        <w:rPr>
          <w:rFonts w:eastAsia="Times New Roman" w:cs="Helvetica"/>
          <w:color w:val="000000"/>
          <w:lang w:eastAsia="en-AU"/>
        </w:rPr>
        <w:lastRenderedPageBreak/>
        <w:t>Application of professional ethical practices in work and in teaching contexts</w:t>
      </w:r>
    </w:p>
    <w:p w14:paraId="19B32CBB" w14:textId="77777777" w:rsidR="00DE5C7D" w:rsidRPr="00804591" w:rsidRDefault="00DE5C7D" w:rsidP="00DE5C7D">
      <w:pPr>
        <w:pStyle w:val="ListParagraph"/>
        <w:numPr>
          <w:ilvl w:val="0"/>
          <w:numId w:val="3"/>
        </w:numPr>
        <w:spacing w:after="0"/>
        <w:ind w:right="120"/>
        <w:rPr>
          <w:rFonts w:eastAsia="Times New Roman" w:cs="Helvetica"/>
          <w:color w:val="000000"/>
          <w:lang w:eastAsia="en-AU"/>
        </w:rPr>
      </w:pPr>
      <w:r w:rsidRPr="00804591">
        <w:rPr>
          <w:rFonts w:eastAsia="Times New Roman" w:cs="Helvetica"/>
          <w:color w:val="000000"/>
          <w:lang w:eastAsia="en-AU"/>
        </w:rPr>
        <w:t>Approaching teaching with enthusiasm, passion and confidence</w:t>
      </w:r>
    </w:p>
    <w:p w14:paraId="09C7BE68" w14:textId="77777777" w:rsidR="00DE5C7D" w:rsidRPr="00804591" w:rsidRDefault="00DE5C7D" w:rsidP="00DE5C7D">
      <w:pPr>
        <w:pStyle w:val="ListParagraph"/>
        <w:numPr>
          <w:ilvl w:val="0"/>
          <w:numId w:val="3"/>
        </w:numPr>
        <w:spacing w:after="0"/>
        <w:ind w:right="120"/>
        <w:rPr>
          <w:rFonts w:eastAsia="Times New Roman" w:cs="Helvetica"/>
          <w:color w:val="000000"/>
          <w:lang w:eastAsia="en-AU"/>
        </w:rPr>
      </w:pPr>
      <w:r w:rsidRPr="00804591">
        <w:rPr>
          <w:rFonts w:eastAsia="Times New Roman" w:cs="Helvetica"/>
          <w:color w:val="000000"/>
          <w:lang w:eastAsia="en-AU"/>
        </w:rPr>
        <w:t>Demonstrating resilience and perseverance in the face of obstacles</w:t>
      </w:r>
    </w:p>
    <w:p w14:paraId="4EE03F4C" w14:textId="77777777" w:rsidR="00DE5C7D" w:rsidRPr="00804591" w:rsidRDefault="00DE5C7D" w:rsidP="00DE5C7D">
      <w:pPr>
        <w:pStyle w:val="ListParagraph"/>
        <w:numPr>
          <w:ilvl w:val="0"/>
          <w:numId w:val="3"/>
        </w:numPr>
        <w:spacing w:after="0"/>
        <w:ind w:right="120"/>
        <w:rPr>
          <w:rFonts w:eastAsia="Times New Roman" w:cs="Helvetica"/>
          <w:color w:val="000000"/>
          <w:lang w:eastAsia="en-AU"/>
        </w:rPr>
      </w:pPr>
      <w:r w:rsidRPr="00804591">
        <w:rPr>
          <w:rFonts w:eastAsia="Times New Roman" w:cs="Helvetica"/>
          <w:color w:val="000000"/>
          <w:lang w:eastAsia="en-AU"/>
        </w:rPr>
        <w:t>Demonstrating time management of self and work to ensure others are not delayed in their work</w:t>
      </w:r>
    </w:p>
    <w:p w14:paraId="0BE92433" w14:textId="77777777" w:rsidR="00DE5C7D" w:rsidRPr="00804591" w:rsidRDefault="00DE5C7D" w:rsidP="00DE5C7D">
      <w:pPr>
        <w:pStyle w:val="ListParagraph"/>
        <w:numPr>
          <w:ilvl w:val="0"/>
          <w:numId w:val="3"/>
        </w:numPr>
        <w:spacing w:after="0"/>
        <w:ind w:right="120"/>
        <w:rPr>
          <w:rFonts w:eastAsia="Times New Roman" w:cs="Helvetica"/>
          <w:color w:val="000000"/>
          <w:lang w:eastAsia="en-AU"/>
        </w:rPr>
      </w:pPr>
      <w:r w:rsidRPr="00804591">
        <w:rPr>
          <w:rFonts w:eastAsia="Times New Roman" w:cs="Helvetica"/>
          <w:color w:val="000000"/>
          <w:lang w:eastAsia="en-AU"/>
        </w:rPr>
        <w:t>Demonstrating self-reflective evaluation of practices and relationships</w:t>
      </w:r>
    </w:p>
    <w:p w14:paraId="0A1E66FD" w14:textId="77777777" w:rsidR="00DE5C7D" w:rsidRPr="00804591" w:rsidRDefault="00DE5C7D" w:rsidP="00DE5C7D">
      <w:pPr>
        <w:pStyle w:val="ListParagraph"/>
        <w:numPr>
          <w:ilvl w:val="0"/>
          <w:numId w:val="3"/>
        </w:numPr>
        <w:spacing w:after="0"/>
        <w:ind w:right="120"/>
        <w:rPr>
          <w:rFonts w:eastAsia="Times New Roman" w:cs="Helvetica"/>
          <w:color w:val="000000"/>
          <w:lang w:eastAsia="en-AU"/>
        </w:rPr>
      </w:pPr>
      <w:r w:rsidRPr="00804591">
        <w:rPr>
          <w:rFonts w:eastAsia="Times New Roman" w:cs="Helvetica"/>
          <w:color w:val="000000"/>
          <w:lang w:eastAsia="en-AU"/>
        </w:rPr>
        <w:t>Demonstrating commitment and interest in students and their learning</w:t>
      </w:r>
    </w:p>
    <w:p w14:paraId="4B619CB3" w14:textId="77777777" w:rsidR="00DE5C7D" w:rsidRPr="00804591" w:rsidRDefault="00DE5C7D" w:rsidP="00DE5C7D">
      <w:pPr>
        <w:spacing w:after="0"/>
        <w:ind w:right="120"/>
        <w:rPr>
          <w:rFonts w:eastAsia="Times New Roman" w:cs="Helvetica"/>
          <w:color w:val="000000"/>
          <w:sz w:val="21"/>
          <w:szCs w:val="21"/>
          <w:lang w:eastAsia="en-AU"/>
        </w:rPr>
      </w:pPr>
    </w:p>
    <w:p w14:paraId="7AC55FFB" w14:textId="77777777" w:rsidR="00D53224" w:rsidRPr="00804591" w:rsidRDefault="00D53224" w:rsidP="00DE5C7D"/>
    <w:sectPr w:rsidR="00D53224" w:rsidRPr="00804591">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F4E2DC" w14:textId="77777777" w:rsidR="00FC46A0" w:rsidRDefault="00FC46A0" w:rsidP="00E82AD0">
      <w:pPr>
        <w:spacing w:after="0" w:line="240" w:lineRule="auto"/>
      </w:pPr>
      <w:r>
        <w:separator/>
      </w:r>
    </w:p>
  </w:endnote>
  <w:endnote w:type="continuationSeparator" w:id="0">
    <w:p w14:paraId="41BD4970" w14:textId="77777777" w:rsidR="00FC46A0" w:rsidRDefault="00FC46A0" w:rsidP="00E82A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B27803" w14:textId="77777777" w:rsidR="00136D53" w:rsidRDefault="00136D5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CellMar>
        <w:top w:w="85" w:type="dxa"/>
        <w:left w:w="85" w:type="dxa"/>
        <w:bottom w:w="85" w:type="dxa"/>
        <w:right w:w="85" w:type="dxa"/>
      </w:tblCellMar>
      <w:tblLook w:val="04A0" w:firstRow="1" w:lastRow="0" w:firstColumn="1" w:lastColumn="0" w:noHBand="0" w:noVBand="1"/>
    </w:tblPr>
    <w:tblGrid>
      <w:gridCol w:w="9248"/>
      <w:gridCol w:w="282"/>
    </w:tblGrid>
    <w:tr w:rsidR="00E82AD0" w:rsidRPr="00E82AD0" w14:paraId="57498CAE" w14:textId="77777777" w:rsidTr="00E82AD0">
      <w:trPr>
        <w:trHeight w:val="20"/>
        <w:jc w:val="center"/>
      </w:trPr>
      <w:sdt>
        <w:sdtPr>
          <w:rPr>
            <w:caps/>
            <w:color w:val="808080" w:themeColor="background1" w:themeShade="80"/>
          </w:rPr>
          <w:alias w:val="Author"/>
          <w:tag w:val=""/>
          <w:id w:val="1534151868"/>
          <w:placeholder>
            <w:docPart w:val="D926EFFC8AAE44ADBC0CE7541B1E33C4"/>
          </w:placeholder>
          <w:dataBinding w:prefixMappings="xmlns:ns0='http://purl.org/dc/elements/1.1/' xmlns:ns1='http://schemas.openxmlformats.org/package/2006/metadata/core-properties' " w:xpath="/ns1:coreProperties[1]/ns0:creator[1]" w:storeItemID="{6C3C8BC8-F283-45AE-878A-BAB7291924A1}"/>
          <w:text/>
        </w:sdtPr>
        <w:sdtEndPr/>
        <w:sdtContent>
          <w:tc>
            <w:tcPr>
              <w:tcW w:w="0" w:type="auto"/>
              <w:shd w:val="clear" w:color="auto" w:fill="auto"/>
            </w:tcPr>
            <w:p w14:paraId="7BEF8174" w14:textId="3FF5DD50" w:rsidR="00E82AD0" w:rsidRPr="00E82AD0" w:rsidRDefault="00136D53" w:rsidP="00136D53">
              <w:pPr>
                <w:pStyle w:val="Footer"/>
                <w:tabs>
                  <w:tab w:val="clear" w:pos="4680"/>
                  <w:tab w:val="clear" w:pos="9360"/>
                </w:tabs>
                <w:rPr>
                  <w:caps/>
                  <w:color w:val="808080" w:themeColor="background1" w:themeShade="80"/>
                </w:rPr>
              </w:pPr>
              <w:r>
                <w:rPr>
                  <w:color w:val="808080" w:themeColor="background1" w:themeShade="80"/>
                  <w:lang w:val="en-CA"/>
                </w:rPr>
                <w:t xml:space="preserve">University of Windsor                  August 2016 </w:t>
              </w:r>
            </w:p>
          </w:tc>
        </w:sdtContent>
      </w:sdt>
      <w:tc>
        <w:tcPr>
          <w:tcW w:w="0" w:type="auto"/>
          <w:shd w:val="clear" w:color="auto" w:fill="auto"/>
        </w:tcPr>
        <w:p w14:paraId="2E463AC6" w14:textId="77777777" w:rsidR="00E82AD0" w:rsidRPr="00E82AD0" w:rsidRDefault="00E82AD0" w:rsidP="00E82AD0">
          <w:pPr>
            <w:pStyle w:val="Footer"/>
            <w:tabs>
              <w:tab w:val="clear" w:pos="4680"/>
              <w:tab w:val="clear" w:pos="9360"/>
            </w:tabs>
            <w:rPr>
              <w:caps/>
              <w:color w:val="808080" w:themeColor="background1" w:themeShade="80"/>
            </w:rPr>
          </w:pPr>
          <w:r w:rsidRPr="00E82AD0">
            <w:rPr>
              <w:caps/>
              <w:color w:val="808080" w:themeColor="background1" w:themeShade="80"/>
            </w:rPr>
            <w:fldChar w:fldCharType="begin"/>
          </w:r>
          <w:r w:rsidRPr="00E82AD0">
            <w:rPr>
              <w:caps/>
              <w:color w:val="808080" w:themeColor="background1" w:themeShade="80"/>
            </w:rPr>
            <w:instrText xml:space="preserve"> PAGE   \* MERGEFORMAT </w:instrText>
          </w:r>
          <w:r w:rsidRPr="00E82AD0">
            <w:rPr>
              <w:caps/>
              <w:color w:val="808080" w:themeColor="background1" w:themeShade="80"/>
            </w:rPr>
            <w:fldChar w:fldCharType="separate"/>
          </w:r>
          <w:r w:rsidR="00055B7F">
            <w:rPr>
              <w:caps/>
              <w:noProof/>
              <w:color w:val="808080" w:themeColor="background1" w:themeShade="80"/>
            </w:rPr>
            <w:t>1</w:t>
          </w:r>
          <w:r w:rsidRPr="00E82AD0">
            <w:rPr>
              <w:caps/>
              <w:noProof/>
              <w:color w:val="808080" w:themeColor="background1" w:themeShade="80"/>
            </w:rPr>
            <w:fldChar w:fldCharType="end"/>
          </w:r>
        </w:p>
      </w:tc>
    </w:tr>
    <w:tr w:rsidR="00E82AD0" w14:paraId="32AAD2D2" w14:textId="77777777" w:rsidTr="00E82AD0">
      <w:trPr>
        <w:trHeight w:val="20"/>
        <w:jc w:val="center"/>
      </w:trPr>
      <w:tc>
        <w:tcPr>
          <w:tcW w:w="0" w:type="auto"/>
          <w:shd w:val="clear" w:color="auto" w:fill="auto"/>
        </w:tcPr>
        <w:p w14:paraId="71107CAD" w14:textId="0BB025C0" w:rsidR="00E82AD0" w:rsidRPr="00E82AD0" w:rsidRDefault="00E82AD0" w:rsidP="00E82AD0">
          <w:pPr>
            <w:pStyle w:val="Footer"/>
          </w:pPr>
          <w:r w:rsidRPr="00E82AD0">
            <w:rPr>
              <w:sz w:val="20"/>
              <w:szCs w:val="20"/>
            </w:rPr>
            <w:t>http://www1.uwindsor.ca/provost/renewal-promotion-and-tenure-rpt-research-and-teaching-evaluation-frameworks</w:t>
          </w:r>
        </w:p>
      </w:tc>
      <w:tc>
        <w:tcPr>
          <w:tcW w:w="0" w:type="auto"/>
          <w:shd w:val="clear" w:color="auto" w:fill="auto"/>
        </w:tcPr>
        <w:p w14:paraId="208BEA5E" w14:textId="77777777" w:rsidR="00E82AD0" w:rsidRDefault="00E82AD0" w:rsidP="00E82AD0">
          <w:pPr>
            <w:pStyle w:val="Footer"/>
            <w:tabs>
              <w:tab w:val="clear" w:pos="4680"/>
              <w:tab w:val="clear" w:pos="9360"/>
            </w:tabs>
            <w:rPr>
              <w:caps/>
              <w:color w:val="808080" w:themeColor="background1" w:themeShade="80"/>
              <w:sz w:val="18"/>
              <w:szCs w:val="18"/>
            </w:rPr>
          </w:pPr>
        </w:p>
      </w:tc>
    </w:tr>
  </w:tbl>
  <w:p w14:paraId="1611CCF5" w14:textId="601D0F25" w:rsidR="00E82AD0" w:rsidRDefault="00E82AD0" w:rsidP="00E82AD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B57CA3" w14:textId="77777777" w:rsidR="00136D53" w:rsidRDefault="00136D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73A303" w14:textId="77777777" w:rsidR="00FC46A0" w:rsidRDefault="00FC46A0" w:rsidP="00E82AD0">
      <w:pPr>
        <w:spacing w:after="0" w:line="240" w:lineRule="auto"/>
      </w:pPr>
      <w:r>
        <w:separator/>
      </w:r>
    </w:p>
  </w:footnote>
  <w:footnote w:type="continuationSeparator" w:id="0">
    <w:p w14:paraId="23DCA53E" w14:textId="77777777" w:rsidR="00FC46A0" w:rsidRDefault="00FC46A0" w:rsidP="00E82A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DAA30B" w14:textId="77777777" w:rsidR="00136D53" w:rsidRDefault="00136D5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8C181F" w14:textId="77777777" w:rsidR="00136D53" w:rsidRDefault="00136D5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EED3B2" w14:textId="77777777" w:rsidR="00136D53" w:rsidRDefault="00136D5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4702A8"/>
    <w:multiLevelType w:val="multilevel"/>
    <w:tmpl w:val="B2E8200E"/>
    <w:lvl w:ilvl="0">
      <w:start w:val="1"/>
      <w:numFmt w:val="bullet"/>
      <w:lvlText w:val=""/>
      <w:lvlJc w:val="left"/>
      <w:pPr>
        <w:tabs>
          <w:tab w:val="num" w:pos="810"/>
        </w:tabs>
        <w:ind w:left="810" w:hanging="360"/>
      </w:pPr>
      <w:rPr>
        <w:rFonts w:ascii="Symbol" w:hAnsi="Symbol" w:hint="default"/>
        <w:sz w:val="20"/>
      </w:rPr>
    </w:lvl>
    <w:lvl w:ilvl="1">
      <w:start w:val="3"/>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8C55C4"/>
    <w:multiLevelType w:val="hybridMultilevel"/>
    <w:tmpl w:val="AA68D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8C7061"/>
    <w:multiLevelType w:val="multilevel"/>
    <w:tmpl w:val="1E70F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CB25CE1"/>
    <w:multiLevelType w:val="hybridMultilevel"/>
    <w:tmpl w:val="BB94A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CF32E6"/>
    <w:multiLevelType w:val="multilevel"/>
    <w:tmpl w:val="A4EC82A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D3A36F1"/>
    <w:multiLevelType w:val="multilevel"/>
    <w:tmpl w:val="1EE830C2"/>
    <w:lvl w:ilvl="0">
      <w:start w:val="1"/>
      <w:numFmt w:val="bullet"/>
      <w:lvlText w:val=""/>
      <w:lvlJc w:val="left"/>
      <w:pPr>
        <w:tabs>
          <w:tab w:val="num" w:pos="810"/>
        </w:tabs>
        <w:ind w:left="810" w:hanging="360"/>
      </w:pPr>
      <w:rPr>
        <w:rFonts w:ascii="Symbol" w:hAnsi="Symbol" w:hint="default"/>
        <w:sz w:val="20"/>
      </w:rPr>
    </w:lvl>
    <w:lvl w:ilvl="1">
      <w:start w:val="1"/>
      <w:numFmt w:val="lowerRoman"/>
      <w:lvlText w:val="%2."/>
      <w:lvlJc w:val="left"/>
      <w:pPr>
        <w:ind w:left="1800" w:hanging="72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81351CE"/>
    <w:multiLevelType w:val="multilevel"/>
    <w:tmpl w:val="904ADD1C"/>
    <w:lvl w:ilvl="0">
      <w:start w:val="1"/>
      <w:numFmt w:val="bullet"/>
      <w:lvlText w:val=""/>
      <w:lvlJc w:val="left"/>
      <w:pPr>
        <w:tabs>
          <w:tab w:val="num" w:pos="810"/>
        </w:tabs>
        <w:ind w:left="810" w:hanging="360"/>
      </w:pPr>
      <w:rPr>
        <w:rFonts w:ascii="Symbol" w:hAnsi="Symbol" w:hint="default"/>
        <w:sz w:val="20"/>
      </w:rPr>
    </w:lvl>
    <w:lvl w:ilvl="1">
      <w:start w:val="15"/>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B7C123A"/>
    <w:multiLevelType w:val="hybridMultilevel"/>
    <w:tmpl w:val="CBC82F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7"/>
  </w:num>
  <w:num w:numId="3">
    <w:abstractNumId w:val="1"/>
  </w:num>
  <w:num w:numId="4">
    <w:abstractNumId w:val="4"/>
  </w:num>
  <w:num w:numId="5">
    <w:abstractNumId w:val="2"/>
  </w:num>
  <w:num w:numId="6">
    <w:abstractNumId w:val="5"/>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5C7D"/>
    <w:rsid w:val="00055B7F"/>
    <w:rsid w:val="000D68FB"/>
    <w:rsid w:val="00136D53"/>
    <w:rsid w:val="00804591"/>
    <w:rsid w:val="00A96049"/>
    <w:rsid w:val="00D53224"/>
    <w:rsid w:val="00DD322A"/>
    <w:rsid w:val="00DE5C7D"/>
    <w:rsid w:val="00DF58A7"/>
    <w:rsid w:val="00E82AD0"/>
    <w:rsid w:val="00FC46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D2684DD"/>
  <w15:docId w15:val="{00A2BD5A-0970-47F5-A221-7FB1A6B3F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5C7D"/>
    <w:pPr>
      <w:spacing w:after="200" w:line="276" w:lineRule="auto"/>
    </w:pPr>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5C7D"/>
    <w:pPr>
      <w:ind w:left="720"/>
      <w:contextualSpacing/>
    </w:pPr>
  </w:style>
  <w:style w:type="paragraph" w:styleId="Header">
    <w:name w:val="header"/>
    <w:basedOn w:val="Normal"/>
    <w:link w:val="HeaderChar"/>
    <w:uiPriority w:val="99"/>
    <w:unhideWhenUsed/>
    <w:rsid w:val="00E82A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2AD0"/>
    <w:rPr>
      <w:lang w:val="en-AU"/>
    </w:rPr>
  </w:style>
  <w:style w:type="paragraph" w:styleId="Footer">
    <w:name w:val="footer"/>
    <w:basedOn w:val="Normal"/>
    <w:link w:val="FooterChar"/>
    <w:uiPriority w:val="99"/>
    <w:unhideWhenUsed/>
    <w:rsid w:val="00E82A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2AD0"/>
    <w:rPr>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926EFFC8AAE44ADBC0CE7541B1E33C4"/>
        <w:category>
          <w:name w:val="General"/>
          <w:gallery w:val="placeholder"/>
        </w:category>
        <w:types>
          <w:type w:val="bbPlcHdr"/>
        </w:types>
        <w:behaviors>
          <w:behavior w:val="content"/>
        </w:behaviors>
        <w:guid w:val="{56F95643-25BB-4A8D-96C7-2AB80CE7FD3B}"/>
      </w:docPartPr>
      <w:docPartBody>
        <w:p w:rsidR="009F7073" w:rsidRDefault="00AF3188" w:rsidP="00AF3188">
          <w:pPr>
            <w:pStyle w:val="D926EFFC8AAE44ADBC0CE7541B1E33C4"/>
          </w:pPr>
          <w:r>
            <w:rPr>
              <w:rStyle w:val="PlaceholderText"/>
            </w:rP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188"/>
    <w:rsid w:val="000C2802"/>
    <w:rsid w:val="009F7073"/>
    <w:rsid w:val="00AF3188"/>
    <w:rsid w:val="00B53C2D"/>
    <w:rsid w:val="00B7307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F3188"/>
    <w:rPr>
      <w:color w:val="808080"/>
    </w:rPr>
  </w:style>
  <w:style w:type="paragraph" w:customStyle="1" w:styleId="D926EFFC8AAE44ADBC0CE7541B1E33C4">
    <w:name w:val="D926EFFC8AAE44ADBC0CE7541B1E33C4"/>
    <w:rsid w:val="00AF318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636</Words>
  <Characters>4395</Characters>
  <Application>Microsoft Office Word</Application>
  <DocSecurity>0</DocSecurity>
  <Lines>91</Lines>
  <Paragraphs>59</Paragraphs>
  <ScaleCrop>false</ScaleCrop>
  <HeadingPairs>
    <vt:vector size="2" baseType="variant">
      <vt:variant>
        <vt:lpstr>Title</vt:lpstr>
      </vt:variant>
      <vt:variant>
        <vt:i4>1</vt:i4>
      </vt:variant>
    </vt:vector>
  </HeadingPairs>
  <TitlesOfParts>
    <vt:vector size="1" baseType="lpstr">
      <vt:lpstr/>
    </vt:vector>
  </TitlesOfParts>
  <Company>University of Windsor</Company>
  <LinksUpToDate>false</LinksUpToDate>
  <CharactersWithSpaces>4972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University of Windsor                  August 2016 </dc:creator>
  <cp:keywords/>
  <dc:description/>
  <cp:lastModifiedBy>Beverley Hamilton</cp:lastModifiedBy>
  <cp:revision>7</cp:revision>
  <dcterms:created xsi:type="dcterms:W3CDTF">2016-07-21T15:13:00Z</dcterms:created>
  <dcterms:modified xsi:type="dcterms:W3CDTF">2016-08-18T20:55:00Z</dcterms:modified>
</cp:coreProperties>
</file>