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0F03" w14:textId="20B0AF7D" w:rsidR="00BE63BE" w:rsidRPr="00A3039C" w:rsidRDefault="003446D5" w:rsidP="00A3039C">
      <w:pPr>
        <w:pStyle w:val="Heading1"/>
        <w:rPr>
          <w:b/>
          <w:bCs/>
        </w:rPr>
      </w:pPr>
      <w:r w:rsidRPr="00A3039C">
        <w:rPr>
          <w:b/>
          <w:bCs/>
        </w:rPr>
        <w:t xml:space="preserve">Considerations </w:t>
      </w:r>
      <w:r>
        <w:rPr>
          <w:b/>
          <w:bCs/>
        </w:rPr>
        <w:t xml:space="preserve">for </w:t>
      </w:r>
      <w:r w:rsidR="002218C0" w:rsidRPr="00A3039C">
        <w:rPr>
          <w:b/>
          <w:bCs/>
        </w:rPr>
        <w:t>Experiential Learning Online</w:t>
      </w:r>
      <w:r w:rsidR="000C2190">
        <w:rPr>
          <w:b/>
          <w:bCs/>
        </w:rPr>
        <w:t>:</w:t>
      </w:r>
      <w:r>
        <w:rPr>
          <w:b/>
          <w:bCs/>
        </w:rPr>
        <w:t xml:space="preserve"> </w:t>
      </w:r>
      <w:r w:rsidR="000C2190">
        <w:rPr>
          <w:b/>
          <w:bCs/>
        </w:rPr>
        <w:t>A Checklist</w:t>
      </w:r>
    </w:p>
    <w:p w14:paraId="72098833" w14:textId="77777777" w:rsidR="00D67B00" w:rsidRDefault="00D67B00" w:rsidP="00E819CC">
      <w:pPr>
        <w:spacing w:line="240" w:lineRule="auto"/>
      </w:pPr>
    </w:p>
    <w:p w14:paraId="44E326B5" w14:textId="29FDB19E" w:rsidR="004C69F5" w:rsidRPr="00E819CC" w:rsidRDefault="004C69F5" w:rsidP="00E819CC">
      <w:pPr>
        <w:spacing w:line="240" w:lineRule="auto"/>
      </w:pPr>
      <w:r w:rsidRPr="00E819CC">
        <w:t xml:space="preserve">Here are some general considerations for how you might meet experiential learning outcomes in an online environment. If you answer </w:t>
      </w:r>
      <w:r w:rsidR="000832FE">
        <w:t>“</w:t>
      </w:r>
      <w:r w:rsidRPr="00E819CC">
        <w:t>yes</w:t>
      </w:r>
      <w:r w:rsidR="000832FE">
        <w:t>”</w:t>
      </w:r>
      <w:r w:rsidRPr="00E819CC">
        <w:t xml:space="preserve"> to </w:t>
      </w:r>
      <w:r w:rsidRPr="00A3039C">
        <w:t>the questions</w:t>
      </w:r>
      <w:r w:rsidR="006638D2">
        <w:t xml:space="preserve"> below</w:t>
      </w:r>
      <w:r w:rsidRPr="00E819CC">
        <w:t xml:space="preserve">, you may be able to </w:t>
      </w:r>
      <w:r w:rsidR="00244337">
        <w:t xml:space="preserve">include </w:t>
      </w:r>
      <w:r w:rsidR="00B81CE7">
        <w:t>your</w:t>
      </w:r>
      <w:r w:rsidR="00244337">
        <w:t xml:space="preserve"> experiential learning activity</w:t>
      </w:r>
      <w:r w:rsidRPr="00E819CC">
        <w:t xml:space="preserve"> online!</w:t>
      </w:r>
    </w:p>
    <w:p w14:paraId="71F76DF5" w14:textId="5A5017A4" w:rsidR="006638D2" w:rsidRDefault="004C69F5" w:rsidP="006638D2">
      <w:pPr>
        <w:spacing w:after="120" w:line="240" w:lineRule="auto"/>
      </w:pPr>
      <w:r w:rsidRPr="00E819CC">
        <w:t>Of course, c</w:t>
      </w:r>
      <w:r w:rsidR="00AB5E63" w:rsidRPr="00E819CC">
        <w:t>ertai</w:t>
      </w:r>
      <w:r w:rsidR="003625B7" w:rsidRPr="00A3039C">
        <w:t>n types of experiential learning simply won’t translate well to an online environment</w:t>
      </w:r>
      <w:r w:rsidRPr="00A3039C">
        <w:t>.</w:t>
      </w:r>
      <w:r w:rsidR="003625B7" w:rsidRPr="00244337">
        <w:t xml:space="preserve"> </w:t>
      </w:r>
      <w:r w:rsidRPr="006638D2">
        <w:t xml:space="preserve">Practical, hands-on, performative outcomes requiring </w:t>
      </w:r>
      <w:r w:rsidRPr="00E819CC">
        <w:rPr>
          <w:b/>
          <w:bCs/>
        </w:rPr>
        <w:t>specialized equipment</w:t>
      </w:r>
      <w:r w:rsidRPr="00AC7B75">
        <w:t xml:space="preserve"> </w:t>
      </w:r>
      <w:r w:rsidR="006638D2">
        <w:t>that</w:t>
      </w:r>
      <w:r w:rsidRPr="00AC7B75">
        <w:t xml:space="preserve"> students will not have access</w:t>
      </w:r>
      <w:r w:rsidR="006638D2">
        <w:t xml:space="preserve"> to, do not translate online.  If this is the case, consider simulations, demos or modelling as a substitute or partial substitute.</w:t>
      </w:r>
    </w:p>
    <w:p w14:paraId="310EB9E3" w14:textId="4DA7DD06" w:rsidR="00BE63BE" w:rsidRDefault="00BE63BE" w:rsidP="00E819CC"/>
    <w:p w14:paraId="5A8225A5" w14:textId="27FDE16E" w:rsidR="00BE63BE" w:rsidRPr="00A3039C" w:rsidRDefault="002218C0" w:rsidP="00A3039C">
      <w:pPr>
        <w:pStyle w:val="Heading2"/>
        <w:rPr>
          <w:b/>
          <w:bCs/>
        </w:rPr>
      </w:pPr>
      <w:r w:rsidRPr="00A3039C">
        <w:rPr>
          <w:b/>
          <w:bCs/>
        </w:rPr>
        <w:t xml:space="preserve">Experiential </w:t>
      </w:r>
      <w:r w:rsidR="00D67B00" w:rsidRPr="00A3039C">
        <w:rPr>
          <w:b/>
          <w:bCs/>
        </w:rPr>
        <w:t xml:space="preserve">activities </w:t>
      </w:r>
      <w:r w:rsidRPr="00A3039C">
        <w:rPr>
          <w:b/>
          <w:bCs/>
        </w:rPr>
        <w:t xml:space="preserve">that </w:t>
      </w:r>
      <w:r w:rsidR="000832FE" w:rsidRPr="00A3039C">
        <w:rPr>
          <w:b/>
          <w:bCs/>
        </w:rPr>
        <w:t>may require significant resources and planning</w:t>
      </w:r>
      <w:r w:rsidR="00A3039C">
        <w:rPr>
          <w:b/>
          <w:bCs/>
        </w:rPr>
        <w:t>:</w:t>
      </w:r>
    </w:p>
    <w:p w14:paraId="19D12396" w14:textId="32644DAE" w:rsidR="00714797" w:rsidRPr="00AB5E63" w:rsidRDefault="00AB5E63" w:rsidP="00A3039C">
      <w:pPr>
        <w:spacing w:after="120" w:line="240" w:lineRule="auto"/>
      </w:pPr>
      <w:r>
        <w:t xml:space="preserve">Many different activities </w:t>
      </w:r>
      <w:r w:rsidR="00044A53">
        <w:t xml:space="preserve">can </w:t>
      </w:r>
      <w:r>
        <w:t xml:space="preserve">be done online in the </w:t>
      </w:r>
      <w:r w:rsidR="00D67B00">
        <w:t>“</w:t>
      </w:r>
      <w:r>
        <w:t>real world</w:t>
      </w:r>
      <w:r w:rsidR="00D67B00">
        <w:t>”</w:t>
      </w:r>
      <w:r>
        <w:t xml:space="preserve"> </w:t>
      </w:r>
      <w:r w:rsidR="00A3039C">
        <w:t xml:space="preserve">remotely </w:t>
      </w:r>
      <w:r>
        <w:t>through common technology</w:t>
      </w:r>
      <w:r w:rsidR="00044A53">
        <w:t>, or in either virtual and simulated worlds</w:t>
      </w:r>
      <w:r>
        <w:t xml:space="preserve">.  </w:t>
      </w:r>
      <w:r w:rsidR="007061E4">
        <w:t xml:space="preserve">Keep in mind that </w:t>
      </w:r>
      <w:r w:rsidR="00D67B00">
        <w:t xml:space="preserve">remote </w:t>
      </w:r>
      <w:r w:rsidR="00A3039C">
        <w:t>real-world</w:t>
      </w:r>
      <w:r w:rsidR="00D67B00">
        <w:t xml:space="preserve"> activities</w:t>
      </w:r>
      <w:r>
        <w:t xml:space="preserve"> </w:t>
      </w:r>
      <w:r w:rsidR="007061E4">
        <w:t xml:space="preserve">will often require additional resources to ensure that students are engaged in meaningful activities and have adequate support, supervision, and reflective opportunities. </w:t>
      </w:r>
      <w:r w:rsidR="00A3039C">
        <w:t>Virtual and simulated activities</w:t>
      </w:r>
      <w:r w:rsidR="007061E4">
        <w:t xml:space="preserve"> also usually </w:t>
      </w:r>
      <w:r>
        <w:t>require significant resources in planning</w:t>
      </w:r>
      <w:r w:rsidR="002619F1">
        <w:t xml:space="preserve">, </w:t>
      </w:r>
      <w:r>
        <w:t xml:space="preserve">development, </w:t>
      </w:r>
      <w:r w:rsidR="002619F1">
        <w:t xml:space="preserve">and programming, </w:t>
      </w:r>
      <w:r>
        <w:t xml:space="preserve">but there are many open educational resources that </w:t>
      </w:r>
      <w:r w:rsidR="000832FE">
        <w:t>can be helpful</w:t>
      </w:r>
      <w:r>
        <w:t>.</w:t>
      </w:r>
    </w:p>
    <w:tbl>
      <w:tblPr>
        <w:tblStyle w:val="TableGrid"/>
        <w:tblW w:w="10065" w:type="dxa"/>
        <w:tblInd w:w="-289" w:type="dxa"/>
        <w:tblCellMar>
          <w:top w:w="45" w:type="dxa"/>
          <w:bottom w:w="45" w:type="dxa"/>
        </w:tblCellMar>
        <w:tblLook w:val="04A0" w:firstRow="1" w:lastRow="0" w:firstColumn="1" w:lastColumn="0" w:noHBand="0" w:noVBand="1"/>
      </w:tblPr>
      <w:tblGrid>
        <w:gridCol w:w="9640"/>
        <w:gridCol w:w="425"/>
      </w:tblGrid>
      <w:tr w:rsidR="0089304F" w14:paraId="57B2D74C" w14:textId="77777777" w:rsidTr="009D6A11">
        <w:tc>
          <w:tcPr>
            <w:tcW w:w="9640" w:type="dxa"/>
            <w:shd w:val="clear" w:color="auto" w:fill="D9E2F3" w:themeFill="accent1" w:themeFillTint="33"/>
          </w:tcPr>
          <w:p w14:paraId="5B31AA6A" w14:textId="77777777" w:rsidR="0089304F" w:rsidRPr="003625B7" w:rsidRDefault="0089304F" w:rsidP="00E819CC">
            <w:pPr>
              <w:rPr>
                <w:b/>
                <w:bCs/>
              </w:rPr>
            </w:pPr>
            <w:r w:rsidRPr="003625B7">
              <w:rPr>
                <w:b/>
                <w:bCs/>
              </w:rPr>
              <w:t>Internships, Service, Co-op</w:t>
            </w:r>
          </w:p>
        </w:tc>
        <w:tc>
          <w:tcPr>
            <w:tcW w:w="425" w:type="dxa"/>
            <w:shd w:val="clear" w:color="auto" w:fill="D9E2F3" w:themeFill="accent1" w:themeFillTint="33"/>
          </w:tcPr>
          <w:p w14:paraId="1B639E0B" w14:textId="77777777" w:rsidR="0089304F" w:rsidRDefault="0089304F" w:rsidP="00E819CC"/>
        </w:tc>
      </w:tr>
      <w:tr w:rsidR="0089304F" w:rsidRPr="004308B1" w14:paraId="47C82172" w14:textId="77777777" w:rsidTr="009D6A11">
        <w:tc>
          <w:tcPr>
            <w:tcW w:w="9640" w:type="dxa"/>
          </w:tcPr>
          <w:p w14:paraId="02FA6D82" w14:textId="62B1810A" w:rsidR="0089304F" w:rsidRPr="004308B1" w:rsidRDefault="0089304F" w:rsidP="00E819CC">
            <w:r w:rsidRPr="004308B1">
              <w:t>Are there course relevant and meaningful online or digital services</w:t>
            </w:r>
            <w:r w:rsidR="00197C64" w:rsidRPr="004308B1">
              <w:t>, projects,</w:t>
            </w:r>
            <w:r w:rsidRPr="004308B1">
              <w:t xml:space="preserve"> or activities that students could do in partnership with organizations or industries</w:t>
            </w:r>
            <w:r w:rsidR="00F61CAD">
              <w:t xml:space="preserve"> </w:t>
            </w:r>
            <w:r w:rsidRPr="004308B1">
              <w:t>(</w:t>
            </w:r>
            <w:r w:rsidR="003136D3" w:rsidRPr="004308B1">
              <w:t>e.g.</w:t>
            </w:r>
            <w:r w:rsidRPr="004308B1">
              <w:t xml:space="preserve"> conducting research, data analysis, developing proposals or recommendations, designing a communication or creative product, providing online tutoring, mentorship, advocacy, or companionship, etc.)</w:t>
            </w:r>
            <w:r w:rsidR="00F61CAD">
              <w:t>?</w:t>
            </w:r>
          </w:p>
        </w:tc>
        <w:tc>
          <w:tcPr>
            <w:tcW w:w="425" w:type="dxa"/>
          </w:tcPr>
          <w:p w14:paraId="5C47C11B" w14:textId="77777777" w:rsidR="0089304F" w:rsidRPr="004308B1" w:rsidRDefault="0089304F" w:rsidP="00E819CC"/>
        </w:tc>
      </w:tr>
      <w:tr w:rsidR="0089304F" w:rsidRPr="004308B1" w14:paraId="7FEEB89C" w14:textId="77777777" w:rsidTr="009D6A11">
        <w:tc>
          <w:tcPr>
            <w:tcW w:w="9640" w:type="dxa"/>
          </w:tcPr>
          <w:p w14:paraId="63B7EDD3" w14:textId="0DA62D1C" w:rsidR="0089304F" w:rsidRPr="004308B1" w:rsidRDefault="0089304F" w:rsidP="00E819CC">
            <w:r w:rsidRPr="004308B1">
              <w:t xml:space="preserve">Is there an organization or industry that you know of that requires these types of services and </w:t>
            </w:r>
            <w:r w:rsidR="003136D3" w:rsidRPr="004308B1">
              <w:t xml:space="preserve">would be willing to work with students </w:t>
            </w:r>
            <w:r w:rsidR="00A3039C" w:rsidRPr="004308B1">
              <w:t xml:space="preserve">working </w:t>
            </w:r>
            <w:r w:rsidR="003136D3" w:rsidRPr="004308B1">
              <w:t>remotely, likely from their home</w:t>
            </w:r>
            <w:r w:rsidR="00550D0B" w:rsidRPr="004308B1">
              <w:t>s</w:t>
            </w:r>
            <w:r w:rsidR="003136D3" w:rsidRPr="004308B1">
              <w:t xml:space="preserve"> and possibly from different time zones</w:t>
            </w:r>
            <w:r w:rsidRPr="004308B1">
              <w:t xml:space="preserve">? </w:t>
            </w:r>
          </w:p>
        </w:tc>
        <w:tc>
          <w:tcPr>
            <w:tcW w:w="425" w:type="dxa"/>
          </w:tcPr>
          <w:p w14:paraId="222BA892" w14:textId="77777777" w:rsidR="0089304F" w:rsidRPr="004308B1" w:rsidRDefault="0089304F" w:rsidP="00E819CC"/>
        </w:tc>
      </w:tr>
      <w:tr w:rsidR="003136D3" w:rsidRPr="004308B1" w14:paraId="0CBF23B6" w14:textId="77777777" w:rsidTr="009D6A11">
        <w:tc>
          <w:tcPr>
            <w:tcW w:w="9640" w:type="dxa"/>
          </w:tcPr>
          <w:p w14:paraId="1955AFDF" w14:textId="7C695C79" w:rsidR="003136D3" w:rsidRPr="004308B1" w:rsidRDefault="00E819CC" w:rsidP="00E819CC">
            <w:r w:rsidRPr="004308B1">
              <w:t>Are you able to support the organization in providing structured communication with students remotely?</w:t>
            </w:r>
          </w:p>
        </w:tc>
        <w:tc>
          <w:tcPr>
            <w:tcW w:w="425" w:type="dxa"/>
          </w:tcPr>
          <w:p w14:paraId="0748BE74" w14:textId="77777777" w:rsidR="003136D3" w:rsidRPr="004308B1" w:rsidRDefault="003136D3" w:rsidP="00E819CC">
            <w:pPr>
              <w:spacing w:after="120"/>
            </w:pPr>
          </w:p>
        </w:tc>
      </w:tr>
      <w:tr w:rsidR="0089304F" w:rsidRPr="004308B1" w14:paraId="45B5C616" w14:textId="77777777" w:rsidTr="009D6A11">
        <w:tc>
          <w:tcPr>
            <w:tcW w:w="9640" w:type="dxa"/>
          </w:tcPr>
          <w:p w14:paraId="042D3522" w14:textId="1ED27E7F" w:rsidR="0089304F" w:rsidRPr="004308B1" w:rsidRDefault="00A3039C" w:rsidP="00E819CC">
            <w:r w:rsidRPr="004308B1">
              <w:t xml:space="preserve">Can </w:t>
            </w:r>
            <w:r w:rsidR="0089304F" w:rsidRPr="004308B1">
              <w:t xml:space="preserve">the activities be conducted entirely online and </w:t>
            </w:r>
            <w:r w:rsidR="00550D0B" w:rsidRPr="004308B1">
              <w:t xml:space="preserve">still ensure students are </w:t>
            </w:r>
            <w:r w:rsidR="0089304F" w:rsidRPr="004308B1">
              <w:t>provide</w:t>
            </w:r>
            <w:r w:rsidR="00550D0B" w:rsidRPr="004308B1">
              <w:t>d</w:t>
            </w:r>
            <w:r w:rsidR="0089304F" w:rsidRPr="004308B1">
              <w:t xml:space="preserve"> with sufficient supervision and feedback to succeed?</w:t>
            </w:r>
          </w:p>
        </w:tc>
        <w:tc>
          <w:tcPr>
            <w:tcW w:w="425" w:type="dxa"/>
          </w:tcPr>
          <w:p w14:paraId="555C0196" w14:textId="77777777" w:rsidR="0089304F" w:rsidRPr="004308B1" w:rsidRDefault="0089304F" w:rsidP="00E819CC"/>
        </w:tc>
      </w:tr>
      <w:tr w:rsidR="0089304F" w:rsidRPr="004308B1" w14:paraId="5BE5E26D" w14:textId="77777777" w:rsidTr="009D6A11">
        <w:tc>
          <w:tcPr>
            <w:tcW w:w="9640" w:type="dxa"/>
          </w:tcPr>
          <w:p w14:paraId="697D17BA" w14:textId="4702787B" w:rsidR="0089304F" w:rsidRPr="004308B1" w:rsidRDefault="00CC0492" w:rsidP="00E819CC">
            <w:r w:rsidRPr="004308B1">
              <w:t>S</w:t>
            </w:r>
            <w:r w:rsidR="0089304F" w:rsidRPr="004308B1">
              <w:t xml:space="preserve">tudents </w:t>
            </w:r>
            <w:r w:rsidRPr="004308B1">
              <w:t xml:space="preserve">may </w:t>
            </w:r>
            <w:r w:rsidR="0089304F" w:rsidRPr="004308B1">
              <w:t xml:space="preserve">face increased challenges in attempting to conduct </w:t>
            </w:r>
            <w:r w:rsidRPr="004308B1">
              <w:t xml:space="preserve">themselves remotely </w:t>
            </w:r>
            <w:r w:rsidR="0089304F" w:rsidRPr="004308B1">
              <w:t>(</w:t>
            </w:r>
            <w:r w:rsidR="00A3039C" w:rsidRPr="004308B1">
              <w:t>i</w:t>
            </w:r>
            <w:r w:rsidR="0089304F" w:rsidRPr="004308B1">
              <w:t xml:space="preserve">nterpersonal skills, leadership, teamwork, etc.)  </w:t>
            </w:r>
            <w:r w:rsidRPr="004308B1">
              <w:t>D</w:t>
            </w:r>
            <w:r w:rsidR="0089304F" w:rsidRPr="004308B1">
              <w:t>o you have resources to help support students navigate those challenges</w:t>
            </w:r>
            <w:r w:rsidRPr="004308B1">
              <w:t xml:space="preserve"> (check-ins, group discussion, peer support, etc.)</w:t>
            </w:r>
            <w:r w:rsidR="0089304F" w:rsidRPr="004308B1">
              <w:t>?</w:t>
            </w:r>
          </w:p>
        </w:tc>
        <w:tc>
          <w:tcPr>
            <w:tcW w:w="425" w:type="dxa"/>
          </w:tcPr>
          <w:p w14:paraId="7F041D53" w14:textId="77777777" w:rsidR="0089304F" w:rsidRPr="004308B1" w:rsidRDefault="0089304F" w:rsidP="00E819CC"/>
        </w:tc>
      </w:tr>
      <w:tr w:rsidR="0089304F" w:rsidRPr="004308B1" w14:paraId="1389BE3A" w14:textId="77777777" w:rsidTr="009D6A11">
        <w:tc>
          <w:tcPr>
            <w:tcW w:w="9640" w:type="dxa"/>
          </w:tcPr>
          <w:p w14:paraId="1D2C5162" w14:textId="77777777" w:rsidR="0089304F" w:rsidRPr="004308B1" w:rsidRDefault="0089304F" w:rsidP="00E819CC">
            <w:r w:rsidRPr="004308B1">
              <w:t xml:space="preserve">Will students have an opportunity to reflect on their learning from this experience and receive feedback? </w:t>
            </w:r>
          </w:p>
        </w:tc>
        <w:tc>
          <w:tcPr>
            <w:tcW w:w="425" w:type="dxa"/>
          </w:tcPr>
          <w:p w14:paraId="483AD1A7" w14:textId="77777777" w:rsidR="0089304F" w:rsidRPr="004308B1" w:rsidRDefault="0089304F" w:rsidP="00E819CC"/>
        </w:tc>
      </w:tr>
      <w:tr w:rsidR="007A7B57" w14:paraId="2482F9D1" w14:textId="77777777" w:rsidTr="00B22644">
        <w:tc>
          <w:tcPr>
            <w:tcW w:w="9640" w:type="dxa"/>
            <w:shd w:val="clear" w:color="auto" w:fill="D9E2F3" w:themeFill="accent1" w:themeFillTint="33"/>
          </w:tcPr>
          <w:p w14:paraId="40D94343" w14:textId="6752612D" w:rsidR="007A7B57" w:rsidRPr="003625B7" w:rsidRDefault="00165C4C" w:rsidP="00E819CC">
            <w:pPr>
              <w:rPr>
                <w:b/>
                <w:bCs/>
              </w:rPr>
            </w:pPr>
            <w:r>
              <w:rPr>
                <w:b/>
                <w:bCs/>
              </w:rPr>
              <w:t>High-</w:t>
            </w:r>
            <w:r w:rsidR="002619F1">
              <w:rPr>
                <w:b/>
                <w:bCs/>
              </w:rPr>
              <w:t>T</w:t>
            </w:r>
            <w:r>
              <w:rPr>
                <w:b/>
                <w:bCs/>
              </w:rPr>
              <w:t xml:space="preserve">ech </w:t>
            </w:r>
            <w:r w:rsidR="007A7B57" w:rsidRPr="003625B7">
              <w:rPr>
                <w:b/>
                <w:bCs/>
              </w:rPr>
              <w:t>Simulations</w:t>
            </w:r>
          </w:p>
        </w:tc>
        <w:tc>
          <w:tcPr>
            <w:tcW w:w="425" w:type="dxa"/>
            <w:shd w:val="clear" w:color="auto" w:fill="D9E2F3" w:themeFill="accent1" w:themeFillTint="33"/>
          </w:tcPr>
          <w:p w14:paraId="69F62F57" w14:textId="77777777" w:rsidR="007A7B57" w:rsidRDefault="007A7B57" w:rsidP="00E819CC"/>
        </w:tc>
      </w:tr>
      <w:tr w:rsidR="00065405" w:rsidRPr="004308B1" w14:paraId="30E7B84D" w14:textId="77777777" w:rsidTr="00B22644">
        <w:tc>
          <w:tcPr>
            <w:tcW w:w="9640" w:type="dxa"/>
          </w:tcPr>
          <w:p w14:paraId="7B72127B" w14:textId="3BC76F2A" w:rsidR="00065405" w:rsidRPr="004308B1" w:rsidRDefault="00065405" w:rsidP="00E819CC">
            <w:r w:rsidRPr="004308B1">
              <w:t>Can the</w:t>
            </w:r>
            <w:r w:rsidR="00165C4C" w:rsidRPr="004308B1">
              <w:t xml:space="preserve"> experiential</w:t>
            </w:r>
            <w:r w:rsidRPr="004308B1">
              <w:t xml:space="preserve"> learning outcomes </w:t>
            </w:r>
            <w:r w:rsidR="003625B7" w:rsidRPr="004308B1">
              <w:t xml:space="preserve">key to your course </w:t>
            </w:r>
            <w:r w:rsidRPr="004308B1">
              <w:t xml:space="preserve">be </w:t>
            </w:r>
            <w:r w:rsidR="001C3F81" w:rsidRPr="004308B1">
              <w:t xml:space="preserve">sufficiently </w:t>
            </w:r>
            <w:r w:rsidRPr="004308B1">
              <w:t>met through simulated activities</w:t>
            </w:r>
            <w:r w:rsidR="00934D8D" w:rsidRPr="004308B1">
              <w:t>?</w:t>
            </w:r>
          </w:p>
        </w:tc>
        <w:tc>
          <w:tcPr>
            <w:tcW w:w="425" w:type="dxa"/>
          </w:tcPr>
          <w:p w14:paraId="623BF30A" w14:textId="77777777" w:rsidR="00065405" w:rsidRPr="004308B1" w:rsidRDefault="00065405" w:rsidP="00E819CC"/>
        </w:tc>
      </w:tr>
      <w:tr w:rsidR="00065405" w:rsidRPr="004308B1" w14:paraId="48988671" w14:textId="77777777" w:rsidTr="00B22644">
        <w:tc>
          <w:tcPr>
            <w:tcW w:w="9640" w:type="dxa"/>
          </w:tcPr>
          <w:p w14:paraId="44962A81" w14:textId="7B7084CE" w:rsidR="00065405" w:rsidRPr="004308B1" w:rsidRDefault="00721570" w:rsidP="00E819CC">
            <w:r w:rsidRPr="004308B1">
              <w:t xml:space="preserve">Are there </w:t>
            </w:r>
            <w:r w:rsidR="00951BB9" w:rsidRPr="004308B1">
              <w:t xml:space="preserve">existing </w:t>
            </w:r>
            <w:r w:rsidRPr="004308B1">
              <w:t>resources</w:t>
            </w:r>
            <w:r w:rsidR="002218C0" w:rsidRPr="004308B1">
              <w:t xml:space="preserve"> (virtual labs, interactive modules, etc.</w:t>
            </w:r>
            <w:r w:rsidR="00C25302" w:rsidRPr="004308B1">
              <w:rPr>
                <w:rStyle w:val="FootnoteReference"/>
              </w:rPr>
              <w:footnoteReference w:id="1"/>
            </w:r>
            <w:r w:rsidR="002218C0" w:rsidRPr="004308B1">
              <w:t xml:space="preserve">) </w:t>
            </w:r>
            <w:r w:rsidR="00951BB9" w:rsidRPr="004308B1">
              <w:t xml:space="preserve">readily </w:t>
            </w:r>
            <w:r w:rsidRPr="004308B1">
              <w:t xml:space="preserve">available </w:t>
            </w:r>
            <w:r w:rsidR="00951BB9" w:rsidRPr="004308B1">
              <w:t>for you to draw on</w:t>
            </w:r>
            <w:r w:rsidR="00934D8D" w:rsidRPr="004308B1">
              <w:t>?</w:t>
            </w:r>
            <w:r w:rsidR="008410FA" w:rsidRPr="004308B1">
              <w:t xml:space="preserve"> If so, are costs manageable</w:t>
            </w:r>
            <w:r w:rsidR="00B22644" w:rsidRPr="004308B1">
              <w:t>? Will you have sufficient IT support for you and your students?</w:t>
            </w:r>
            <w:r w:rsidR="004A1DA7" w:rsidRPr="004308B1">
              <w:t xml:space="preserve"> </w:t>
            </w:r>
          </w:p>
        </w:tc>
        <w:tc>
          <w:tcPr>
            <w:tcW w:w="425" w:type="dxa"/>
          </w:tcPr>
          <w:p w14:paraId="4FE96A1C" w14:textId="77777777" w:rsidR="00065405" w:rsidRPr="004308B1" w:rsidRDefault="00065405" w:rsidP="00E819CC"/>
        </w:tc>
      </w:tr>
      <w:tr w:rsidR="00065405" w:rsidRPr="004308B1" w14:paraId="5377B52E" w14:textId="77777777" w:rsidTr="00B22644">
        <w:tc>
          <w:tcPr>
            <w:tcW w:w="9640" w:type="dxa"/>
          </w:tcPr>
          <w:p w14:paraId="1E6A87D3" w14:textId="3FA224A2" w:rsidR="00065405" w:rsidRPr="004308B1" w:rsidRDefault="002218C0" w:rsidP="00E819CC">
            <w:r w:rsidRPr="004308B1">
              <w:lastRenderedPageBreak/>
              <w:t>If you were to invest resources in creating the</w:t>
            </w:r>
            <w:r w:rsidR="00721570" w:rsidRPr="004308B1">
              <w:t xml:space="preserve"> simulation or virtual </w:t>
            </w:r>
            <w:r w:rsidRPr="004308B1">
              <w:t xml:space="preserve">component, would you have sufficient time to get it ready?  Would it be </w:t>
            </w:r>
            <w:r w:rsidR="00721570" w:rsidRPr="004308B1">
              <w:t xml:space="preserve">something you </w:t>
            </w:r>
            <w:r w:rsidR="00182953" w:rsidRPr="004308B1">
              <w:t>would be able to</w:t>
            </w:r>
            <w:r w:rsidR="00721570" w:rsidRPr="004308B1">
              <w:t xml:space="preserve"> </w:t>
            </w:r>
            <w:r w:rsidR="00182953" w:rsidRPr="004308B1">
              <w:t xml:space="preserve">and would want to </w:t>
            </w:r>
            <w:r w:rsidR="00721570" w:rsidRPr="004308B1">
              <w:t xml:space="preserve">reuse in the future?  </w:t>
            </w:r>
            <w:r w:rsidRPr="004308B1">
              <w:t>(</w:t>
            </w:r>
            <w:r w:rsidR="00951BB9" w:rsidRPr="004308B1">
              <w:t xml:space="preserve">Is it worth the </w:t>
            </w:r>
            <w:r w:rsidRPr="004308B1">
              <w:t>cost and effort?)</w:t>
            </w:r>
          </w:p>
        </w:tc>
        <w:tc>
          <w:tcPr>
            <w:tcW w:w="425" w:type="dxa"/>
          </w:tcPr>
          <w:p w14:paraId="77E97D45" w14:textId="77777777" w:rsidR="00065405" w:rsidRPr="004308B1" w:rsidRDefault="00065405" w:rsidP="00E819CC"/>
        </w:tc>
      </w:tr>
      <w:tr w:rsidR="00B22644" w:rsidRPr="004308B1" w14:paraId="0B2F5B74" w14:textId="77777777" w:rsidTr="00B22644">
        <w:tc>
          <w:tcPr>
            <w:tcW w:w="9640" w:type="dxa"/>
          </w:tcPr>
          <w:p w14:paraId="72E643C8" w14:textId="74858645" w:rsidR="00B22644" w:rsidRPr="004308B1" w:rsidRDefault="00B22644" w:rsidP="00E819CC">
            <w:r w:rsidRPr="004308B1">
              <w:t>Do you have a plan for how students will demonstrate successful completion of the simulation?</w:t>
            </w:r>
            <w:r w:rsidR="003D0736" w:rsidRPr="004308B1">
              <w:t xml:space="preserve">  </w:t>
            </w:r>
          </w:p>
        </w:tc>
        <w:tc>
          <w:tcPr>
            <w:tcW w:w="425" w:type="dxa"/>
          </w:tcPr>
          <w:p w14:paraId="06C33E08" w14:textId="77777777" w:rsidR="00B22644" w:rsidRPr="004308B1" w:rsidRDefault="00B22644" w:rsidP="00E819CC"/>
        </w:tc>
      </w:tr>
      <w:tr w:rsidR="00B22644" w:rsidRPr="004308B1" w14:paraId="7FD7EB32" w14:textId="77777777" w:rsidTr="00B22644">
        <w:tc>
          <w:tcPr>
            <w:tcW w:w="9640" w:type="dxa"/>
          </w:tcPr>
          <w:p w14:paraId="67C04B7B" w14:textId="63AE0388" w:rsidR="00B22644" w:rsidRPr="004308B1" w:rsidRDefault="003D0736" w:rsidP="00E819CC">
            <w:r w:rsidRPr="004308B1">
              <w:t>Will students have clear prompts from which to reflect on their learning from this simulation</w:t>
            </w:r>
            <w:r w:rsidR="00A10C44" w:rsidRPr="004308B1">
              <w:t xml:space="preserve"> and how it applies to course content</w:t>
            </w:r>
            <w:r w:rsidRPr="004308B1">
              <w:t xml:space="preserve">? </w:t>
            </w:r>
          </w:p>
        </w:tc>
        <w:tc>
          <w:tcPr>
            <w:tcW w:w="425" w:type="dxa"/>
          </w:tcPr>
          <w:p w14:paraId="571C9DA0" w14:textId="77777777" w:rsidR="00B22644" w:rsidRPr="004308B1" w:rsidRDefault="00B22644" w:rsidP="00E819CC"/>
        </w:tc>
      </w:tr>
      <w:tr w:rsidR="00065405" w:rsidRPr="004308B1" w14:paraId="40C0F0D4" w14:textId="77777777" w:rsidTr="00B22644">
        <w:tc>
          <w:tcPr>
            <w:tcW w:w="9640" w:type="dxa"/>
          </w:tcPr>
          <w:p w14:paraId="326E7BF4" w14:textId="19B83F6D" w:rsidR="00065405" w:rsidRPr="004308B1" w:rsidRDefault="003625B7" w:rsidP="00E819CC">
            <w:r w:rsidRPr="004308B1">
              <w:t xml:space="preserve">Could you conduct a simulation using role-play or other techniques that do not involve complicated virtual resources?  (If yes, see </w:t>
            </w:r>
            <w:r w:rsidR="00165C4C" w:rsidRPr="004308B1">
              <w:t>low-tech simulations below</w:t>
            </w:r>
            <w:r w:rsidRPr="004308B1">
              <w:t>)</w:t>
            </w:r>
          </w:p>
        </w:tc>
        <w:tc>
          <w:tcPr>
            <w:tcW w:w="425" w:type="dxa"/>
          </w:tcPr>
          <w:p w14:paraId="53961C1A" w14:textId="77777777" w:rsidR="00065405" w:rsidRPr="004308B1" w:rsidRDefault="00065405" w:rsidP="00E819CC"/>
        </w:tc>
      </w:tr>
    </w:tbl>
    <w:p w14:paraId="7D1A6BAD" w14:textId="77777777" w:rsidR="003D0736" w:rsidRDefault="003D0736" w:rsidP="00E819CC">
      <w:pPr>
        <w:rPr>
          <w:b/>
          <w:bCs/>
          <w:sz w:val="24"/>
          <w:szCs w:val="24"/>
        </w:rPr>
      </w:pPr>
    </w:p>
    <w:p w14:paraId="6A7326E2" w14:textId="39E40ED9" w:rsidR="00DE01D0" w:rsidRPr="00A3039C" w:rsidRDefault="00951BB9" w:rsidP="00A3039C">
      <w:pPr>
        <w:pStyle w:val="Heading2"/>
        <w:rPr>
          <w:b/>
          <w:bCs/>
        </w:rPr>
      </w:pPr>
      <w:r w:rsidRPr="00A3039C">
        <w:rPr>
          <w:b/>
          <w:bCs/>
        </w:rPr>
        <w:t>Experiential opportunities that can translate online</w:t>
      </w:r>
      <w:r w:rsidR="00BE63BE" w:rsidRPr="00A3039C">
        <w:rPr>
          <w:b/>
          <w:bCs/>
        </w:rPr>
        <w:t xml:space="preserve"> </w:t>
      </w:r>
      <w:r w:rsidRPr="00A3039C">
        <w:rPr>
          <w:b/>
          <w:bCs/>
        </w:rPr>
        <w:t>relatively easily:</w:t>
      </w:r>
    </w:p>
    <w:p w14:paraId="6BAE70C3" w14:textId="1DCEEF63" w:rsidR="00951BB9" w:rsidRDefault="00951BB9" w:rsidP="00E819CC">
      <w:r>
        <w:t xml:space="preserve">Many shorter, simpler experiential activities or simulations can be comparatively easy to conduct online.  Networking or interviewing professional contacts, for example, would only differ in medium, but need not change substantially in purpose or content.  Students can also be put into small groups and conduct role-plays or other simulated activities that can help them gain a more practical </w:t>
      </w:r>
      <w:r w:rsidR="002619F1">
        <w:t>and applied understanding of course</w:t>
      </w:r>
      <w:r>
        <w:t xml:space="preserve"> material</w:t>
      </w:r>
      <w:r w:rsidR="002619F1">
        <w:t>.</w:t>
      </w:r>
    </w:p>
    <w:tbl>
      <w:tblPr>
        <w:tblStyle w:val="TableGrid"/>
        <w:tblW w:w="10065" w:type="dxa"/>
        <w:tblInd w:w="-289" w:type="dxa"/>
        <w:tblCellMar>
          <w:top w:w="45" w:type="dxa"/>
          <w:bottom w:w="45" w:type="dxa"/>
        </w:tblCellMar>
        <w:tblLook w:val="04A0" w:firstRow="1" w:lastRow="0" w:firstColumn="1" w:lastColumn="0" w:noHBand="0" w:noVBand="1"/>
      </w:tblPr>
      <w:tblGrid>
        <w:gridCol w:w="9640"/>
        <w:gridCol w:w="425"/>
      </w:tblGrid>
      <w:tr w:rsidR="007A7B57" w14:paraId="650BDE57" w14:textId="77777777" w:rsidTr="007E3FB9">
        <w:tc>
          <w:tcPr>
            <w:tcW w:w="9640" w:type="dxa"/>
            <w:shd w:val="clear" w:color="auto" w:fill="D9E2F3" w:themeFill="accent1" w:themeFillTint="33"/>
          </w:tcPr>
          <w:p w14:paraId="66A9EF76" w14:textId="61511CC5" w:rsidR="007A7B57" w:rsidRPr="003625B7" w:rsidRDefault="007A7B57" w:rsidP="00E819CC">
            <w:pPr>
              <w:rPr>
                <w:b/>
                <w:bCs/>
              </w:rPr>
            </w:pPr>
            <w:r w:rsidRPr="003625B7">
              <w:rPr>
                <w:b/>
                <w:bCs/>
              </w:rPr>
              <w:t>Networking, Interview</w:t>
            </w:r>
            <w:r w:rsidR="00165C4C">
              <w:rPr>
                <w:b/>
                <w:bCs/>
              </w:rPr>
              <w:t>, etc.</w:t>
            </w:r>
          </w:p>
        </w:tc>
        <w:tc>
          <w:tcPr>
            <w:tcW w:w="425" w:type="dxa"/>
            <w:shd w:val="clear" w:color="auto" w:fill="D9E2F3" w:themeFill="accent1" w:themeFillTint="33"/>
          </w:tcPr>
          <w:p w14:paraId="205481FF" w14:textId="77777777" w:rsidR="007A7B57" w:rsidRDefault="007A7B57" w:rsidP="00E819CC"/>
        </w:tc>
      </w:tr>
      <w:tr w:rsidR="00F96A1A" w:rsidRPr="004308B1" w14:paraId="41D6C4E9" w14:textId="77777777" w:rsidTr="007E3FB9">
        <w:tc>
          <w:tcPr>
            <w:tcW w:w="9640" w:type="dxa"/>
          </w:tcPr>
          <w:p w14:paraId="49C90325" w14:textId="2F0F0BF3" w:rsidR="00F96A1A" w:rsidRPr="004308B1" w:rsidRDefault="00F96A1A" w:rsidP="00E819CC">
            <w:r w:rsidRPr="004308B1">
              <w:t xml:space="preserve">Will </w:t>
            </w:r>
            <w:r w:rsidR="00AB5E63" w:rsidRPr="004308B1">
              <w:t xml:space="preserve">the learning achieved by </w:t>
            </w:r>
            <w:r w:rsidRPr="004308B1">
              <w:t xml:space="preserve">these activities align with </w:t>
            </w:r>
            <w:r w:rsidR="008D3C2F" w:rsidRPr="004308B1">
              <w:t>your</w:t>
            </w:r>
            <w:r w:rsidRPr="004308B1">
              <w:t xml:space="preserve"> </w:t>
            </w:r>
            <w:r w:rsidR="00FC6A5F" w:rsidRPr="004308B1">
              <w:t>course outcomes or learning goal</w:t>
            </w:r>
            <w:r w:rsidR="00951BB9" w:rsidRPr="004308B1">
              <w:t>s</w:t>
            </w:r>
            <w:r w:rsidR="00FC6A5F" w:rsidRPr="004308B1">
              <w:t xml:space="preserve">? </w:t>
            </w:r>
          </w:p>
        </w:tc>
        <w:tc>
          <w:tcPr>
            <w:tcW w:w="425" w:type="dxa"/>
          </w:tcPr>
          <w:p w14:paraId="3F8A9083" w14:textId="77777777" w:rsidR="00F96A1A" w:rsidRPr="004308B1" w:rsidRDefault="00F96A1A" w:rsidP="00E819CC"/>
        </w:tc>
      </w:tr>
      <w:tr w:rsidR="00F96A1A" w:rsidRPr="004308B1" w14:paraId="2307E31C" w14:textId="77777777" w:rsidTr="007E3FB9">
        <w:tc>
          <w:tcPr>
            <w:tcW w:w="9640" w:type="dxa"/>
          </w:tcPr>
          <w:p w14:paraId="674CF7E2" w14:textId="7620E846" w:rsidR="00F96A1A" w:rsidRPr="004308B1" w:rsidRDefault="00165C4C" w:rsidP="00E819CC">
            <w:r w:rsidRPr="004308B1">
              <w:t>Do these</w:t>
            </w:r>
            <w:r w:rsidR="002F25CA" w:rsidRPr="004308B1">
              <w:t xml:space="preserve"> activities </w:t>
            </w:r>
            <w:r w:rsidRPr="004308B1">
              <w:t xml:space="preserve">(or components of these activities) </w:t>
            </w:r>
            <w:r w:rsidR="002F25CA" w:rsidRPr="004308B1">
              <w:t xml:space="preserve">connect with course content in a meaningful way? </w:t>
            </w:r>
          </w:p>
        </w:tc>
        <w:tc>
          <w:tcPr>
            <w:tcW w:w="425" w:type="dxa"/>
          </w:tcPr>
          <w:p w14:paraId="0ECE7FC2" w14:textId="77777777" w:rsidR="00F96A1A" w:rsidRPr="004308B1" w:rsidRDefault="00F96A1A" w:rsidP="00E819CC"/>
        </w:tc>
      </w:tr>
      <w:tr w:rsidR="00F96A1A" w:rsidRPr="004308B1" w14:paraId="232EF88E" w14:textId="77777777" w:rsidTr="007E3FB9">
        <w:tc>
          <w:tcPr>
            <w:tcW w:w="9640" w:type="dxa"/>
          </w:tcPr>
          <w:p w14:paraId="00A07467" w14:textId="68D83FC7" w:rsidR="00F96A1A" w:rsidRPr="004308B1" w:rsidRDefault="006226AD" w:rsidP="00E819CC">
            <w:r w:rsidRPr="004308B1">
              <w:t xml:space="preserve">Will the activity help support students </w:t>
            </w:r>
            <w:r w:rsidR="00F61CAD">
              <w:t xml:space="preserve">to </w:t>
            </w:r>
            <w:bookmarkStart w:id="0" w:name="_GoBack"/>
            <w:bookmarkEnd w:id="0"/>
            <w:r w:rsidRPr="004308B1">
              <w:t xml:space="preserve">build relationships, either with other students in the course, or professionals in the field? </w:t>
            </w:r>
          </w:p>
        </w:tc>
        <w:tc>
          <w:tcPr>
            <w:tcW w:w="425" w:type="dxa"/>
          </w:tcPr>
          <w:p w14:paraId="269E54FB" w14:textId="77777777" w:rsidR="00F96A1A" w:rsidRPr="004308B1" w:rsidRDefault="00F96A1A" w:rsidP="00E819CC"/>
        </w:tc>
      </w:tr>
      <w:tr w:rsidR="00F96A1A" w:rsidRPr="004308B1" w14:paraId="1A88FA35" w14:textId="77777777" w:rsidTr="007E3FB9">
        <w:tc>
          <w:tcPr>
            <w:tcW w:w="9640" w:type="dxa"/>
          </w:tcPr>
          <w:p w14:paraId="5C02169F" w14:textId="4F9B143E" w:rsidR="00F96A1A" w:rsidRPr="004308B1" w:rsidRDefault="00144BB2" w:rsidP="00E819CC">
            <w:r w:rsidRPr="004308B1">
              <w:t>S</w:t>
            </w:r>
            <w:r w:rsidR="00F96A1A" w:rsidRPr="004308B1">
              <w:t xml:space="preserve">tudents </w:t>
            </w:r>
            <w:r w:rsidRPr="004308B1">
              <w:t xml:space="preserve">may </w:t>
            </w:r>
            <w:r w:rsidR="00F96A1A" w:rsidRPr="004308B1">
              <w:t xml:space="preserve">face </w:t>
            </w:r>
            <w:r w:rsidR="00951BB9" w:rsidRPr="004308B1">
              <w:t xml:space="preserve">increased social or personal </w:t>
            </w:r>
            <w:r w:rsidR="00FC6A5F" w:rsidRPr="004308B1">
              <w:t>risks</w:t>
            </w:r>
            <w:r w:rsidR="00F96A1A" w:rsidRPr="004308B1">
              <w:t xml:space="preserve"> </w:t>
            </w:r>
            <w:r w:rsidR="00951BB9" w:rsidRPr="004308B1">
              <w:t xml:space="preserve">by trying to do these activities online, rather than </w:t>
            </w:r>
            <w:r w:rsidR="00165C4C" w:rsidRPr="004308B1">
              <w:t>in person</w:t>
            </w:r>
            <w:r w:rsidRPr="004308B1">
              <w:t>.</w:t>
            </w:r>
            <w:r w:rsidR="00951BB9" w:rsidRPr="004308B1">
              <w:t xml:space="preserve">  </w:t>
            </w:r>
            <w:r w:rsidR="00AB5E63" w:rsidRPr="004308B1">
              <w:t>If</w:t>
            </w:r>
            <w:r w:rsidR="00951BB9" w:rsidRPr="004308B1">
              <w:t xml:space="preserve"> </w:t>
            </w:r>
            <w:r w:rsidRPr="004308B1">
              <w:t>they do</w:t>
            </w:r>
            <w:r w:rsidR="00951BB9" w:rsidRPr="004308B1">
              <w:t>, do you have strategies in place to support them</w:t>
            </w:r>
            <w:r w:rsidRPr="004308B1">
              <w:t xml:space="preserve"> (safe space, practise session, peer assistance, group discussion, chat board, etc.)</w:t>
            </w:r>
            <w:r w:rsidR="00951BB9" w:rsidRPr="004308B1">
              <w:t>?</w:t>
            </w:r>
          </w:p>
        </w:tc>
        <w:tc>
          <w:tcPr>
            <w:tcW w:w="425" w:type="dxa"/>
          </w:tcPr>
          <w:p w14:paraId="572AA857" w14:textId="77777777" w:rsidR="00F96A1A" w:rsidRPr="004308B1" w:rsidRDefault="00F96A1A" w:rsidP="00E819CC"/>
        </w:tc>
      </w:tr>
      <w:tr w:rsidR="002619F1" w:rsidRPr="004308B1" w14:paraId="4944B8D5" w14:textId="77777777" w:rsidTr="007E3FB9">
        <w:tc>
          <w:tcPr>
            <w:tcW w:w="9640" w:type="dxa"/>
          </w:tcPr>
          <w:p w14:paraId="327A8D5F" w14:textId="1203BFE4" w:rsidR="002619F1" w:rsidRPr="004308B1" w:rsidRDefault="002619F1" w:rsidP="00E819CC">
            <w:r w:rsidRPr="004308B1">
              <w:t>Will students have an opportunity to reflect meaningfully on this activity in relation to course content and their professional lives, and receive feedback?</w:t>
            </w:r>
          </w:p>
        </w:tc>
        <w:tc>
          <w:tcPr>
            <w:tcW w:w="425" w:type="dxa"/>
          </w:tcPr>
          <w:p w14:paraId="228E544C" w14:textId="77777777" w:rsidR="002619F1" w:rsidRPr="004308B1" w:rsidRDefault="002619F1" w:rsidP="00E819CC"/>
        </w:tc>
      </w:tr>
      <w:tr w:rsidR="00165C4C" w14:paraId="2F5A42B9" w14:textId="77777777" w:rsidTr="007E3FB9">
        <w:tc>
          <w:tcPr>
            <w:tcW w:w="9640" w:type="dxa"/>
            <w:shd w:val="clear" w:color="auto" w:fill="D9E2F3" w:themeFill="accent1" w:themeFillTint="33"/>
          </w:tcPr>
          <w:p w14:paraId="79C654E4" w14:textId="5E0DFA17" w:rsidR="00165C4C" w:rsidRDefault="00165C4C" w:rsidP="00E819CC">
            <w:pPr>
              <w:tabs>
                <w:tab w:val="left" w:pos="1148"/>
              </w:tabs>
            </w:pPr>
            <w:r w:rsidRPr="003625B7">
              <w:rPr>
                <w:b/>
                <w:bCs/>
              </w:rPr>
              <w:t>Role-Play, Modeling</w:t>
            </w:r>
            <w:r>
              <w:rPr>
                <w:b/>
                <w:bCs/>
              </w:rPr>
              <w:t>, Low-tech simulations</w:t>
            </w:r>
          </w:p>
        </w:tc>
        <w:tc>
          <w:tcPr>
            <w:tcW w:w="425" w:type="dxa"/>
            <w:shd w:val="clear" w:color="auto" w:fill="D9E2F3" w:themeFill="accent1" w:themeFillTint="33"/>
          </w:tcPr>
          <w:p w14:paraId="48B3A8A9" w14:textId="77777777" w:rsidR="00165C4C" w:rsidRDefault="00165C4C" w:rsidP="00E819CC"/>
        </w:tc>
      </w:tr>
      <w:tr w:rsidR="008D3C2F" w:rsidRPr="004308B1" w14:paraId="18366F18" w14:textId="77777777" w:rsidTr="007E3FB9">
        <w:tc>
          <w:tcPr>
            <w:tcW w:w="9640" w:type="dxa"/>
          </w:tcPr>
          <w:p w14:paraId="61C692DC" w14:textId="12492FA0" w:rsidR="008D3C2F" w:rsidRPr="004308B1" w:rsidRDefault="008D3C2F" w:rsidP="00E819CC">
            <w:pPr>
              <w:tabs>
                <w:tab w:val="left" w:pos="1148"/>
              </w:tabs>
            </w:pPr>
            <w:r w:rsidRPr="004308B1">
              <w:t xml:space="preserve">Would it be possible to sufficiently meet your course learning outcomes through </w:t>
            </w:r>
            <w:r w:rsidR="007631B6" w:rsidRPr="004308B1">
              <w:t xml:space="preserve">demos, </w:t>
            </w:r>
            <w:r w:rsidRPr="004308B1">
              <w:t xml:space="preserve">role-play or similar types of </w:t>
            </w:r>
            <w:r w:rsidR="00144BB2" w:rsidRPr="004308B1">
              <w:t xml:space="preserve">low-tech </w:t>
            </w:r>
            <w:r w:rsidRPr="004308B1">
              <w:t>simulated activities?</w:t>
            </w:r>
          </w:p>
        </w:tc>
        <w:tc>
          <w:tcPr>
            <w:tcW w:w="425" w:type="dxa"/>
          </w:tcPr>
          <w:p w14:paraId="19FCF457" w14:textId="77777777" w:rsidR="008D3C2F" w:rsidRPr="004308B1" w:rsidRDefault="008D3C2F" w:rsidP="00E819CC"/>
        </w:tc>
      </w:tr>
      <w:tr w:rsidR="007E3FB9" w:rsidRPr="004308B1" w14:paraId="0C367BFE" w14:textId="77777777" w:rsidTr="007E3FB9">
        <w:tc>
          <w:tcPr>
            <w:tcW w:w="9640" w:type="dxa"/>
          </w:tcPr>
          <w:p w14:paraId="5329D131" w14:textId="6F14D55A" w:rsidR="007E3FB9" w:rsidRPr="004308B1" w:rsidRDefault="007E3FB9" w:rsidP="00E819CC">
            <w:pPr>
              <w:tabs>
                <w:tab w:val="left" w:pos="1148"/>
              </w:tabs>
            </w:pPr>
            <w:r w:rsidRPr="004308B1">
              <w:t xml:space="preserve">If </w:t>
            </w:r>
            <w:r w:rsidR="00BB7A9B" w:rsidRPr="004308B1">
              <w:t>outcomes</w:t>
            </w:r>
            <w:r w:rsidR="00CE0A5B" w:rsidRPr="004308B1">
              <w:t xml:space="preserve"> involve lab</w:t>
            </w:r>
            <w:r w:rsidR="00BB7A9B" w:rsidRPr="004308B1">
              <w:t xml:space="preserve"> </w:t>
            </w:r>
            <w:r w:rsidR="00CE0A5B" w:rsidRPr="004308B1">
              <w:t>work</w:t>
            </w:r>
            <w:r w:rsidRPr="004308B1">
              <w:t xml:space="preserve">, </w:t>
            </w:r>
            <w:r w:rsidR="00CE0A5B" w:rsidRPr="004308B1">
              <w:t xml:space="preserve">would it be sufficient to demonstrate the </w:t>
            </w:r>
            <w:r w:rsidR="00545A1B" w:rsidRPr="004308B1">
              <w:t>procedures</w:t>
            </w:r>
            <w:r w:rsidR="00CE0A5B" w:rsidRPr="004308B1">
              <w:t xml:space="preserve"> and then provide </w:t>
            </w:r>
            <w:r w:rsidR="00545A1B" w:rsidRPr="004308B1">
              <w:t>data</w:t>
            </w:r>
            <w:r w:rsidR="00CE0A5B" w:rsidRPr="004308B1">
              <w:t xml:space="preserve"> for students to analyze?  </w:t>
            </w:r>
          </w:p>
        </w:tc>
        <w:tc>
          <w:tcPr>
            <w:tcW w:w="425" w:type="dxa"/>
          </w:tcPr>
          <w:p w14:paraId="064B277C" w14:textId="77777777" w:rsidR="007E3FB9" w:rsidRPr="004308B1" w:rsidRDefault="007E3FB9" w:rsidP="00E819CC"/>
        </w:tc>
      </w:tr>
      <w:tr w:rsidR="00165C4C" w:rsidRPr="004308B1" w14:paraId="1DFCB921" w14:textId="77777777" w:rsidTr="007E3FB9">
        <w:tc>
          <w:tcPr>
            <w:tcW w:w="9640" w:type="dxa"/>
          </w:tcPr>
          <w:p w14:paraId="7CD552CC" w14:textId="02828B26" w:rsidR="00165C4C" w:rsidRPr="004308B1" w:rsidRDefault="00165C4C" w:rsidP="00E819CC">
            <w:pPr>
              <w:tabs>
                <w:tab w:val="left" w:pos="1148"/>
              </w:tabs>
            </w:pPr>
            <w:r w:rsidRPr="004308B1">
              <w:t xml:space="preserve">If </w:t>
            </w:r>
            <w:r w:rsidR="008D3C2F" w:rsidRPr="004308B1">
              <w:t>using</w:t>
            </w:r>
            <w:r w:rsidRPr="004308B1">
              <w:t xml:space="preserve"> small group activities (</w:t>
            </w:r>
            <w:r w:rsidR="00144BB2" w:rsidRPr="004308B1">
              <w:t>e.g.</w:t>
            </w:r>
            <w:r w:rsidRPr="004308B1">
              <w:t xml:space="preserve"> consulting projects, applied research, etc.), </w:t>
            </w:r>
            <w:r w:rsidR="008D3C2F" w:rsidRPr="004308B1">
              <w:t>could</w:t>
            </w:r>
            <w:r w:rsidRPr="004308B1">
              <w:t xml:space="preserve"> you have an authentic assessment </w:t>
            </w:r>
            <w:r w:rsidR="008D3C2F" w:rsidRPr="004308B1">
              <w:t xml:space="preserve">(with a “real-world” genre, purpose and audience) </w:t>
            </w:r>
            <w:r w:rsidRPr="004308B1">
              <w:t>set up for students to demonstrate their learning?</w:t>
            </w:r>
          </w:p>
        </w:tc>
        <w:tc>
          <w:tcPr>
            <w:tcW w:w="425" w:type="dxa"/>
          </w:tcPr>
          <w:p w14:paraId="1ED64AB5" w14:textId="77777777" w:rsidR="00165C4C" w:rsidRPr="004308B1" w:rsidRDefault="00165C4C" w:rsidP="00E819CC"/>
        </w:tc>
      </w:tr>
      <w:tr w:rsidR="008D3C2F" w:rsidRPr="004308B1" w14:paraId="16146F76" w14:textId="77777777" w:rsidTr="007E3FB9">
        <w:tc>
          <w:tcPr>
            <w:tcW w:w="9640" w:type="dxa"/>
          </w:tcPr>
          <w:p w14:paraId="3E0AB0AB" w14:textId="703B4879" w:rsidR="008D3C2F" w:rsidRPr="004308B1" w:rsidRDefault="008D3C2F" w:rsidP="00E819CC">
            <w:pPr>
              <w:tabs>
                <w:tab w:val="left" w:pos="1148"/>
              </w:tabs>
            </w:pPr>
            <w:r w:rsidRPr="004308B1">
              <w:t xml:space="preserve">If using synchronous activities (such as role-play, moots, etc.), can you set them up so that each student has a clear role and objective?   </w:t>
            </w:r>
          </w:p>
        </w:tc>
        <w:tc>
          <w:tcPr>
            <w:tcW w:w="425" w:type="dxa"/>
          </w:tcPr>
          <w:p w14:paraId="3B285A13" w14:textId="77777777" w:rsidR="008D3C2F" w:rsidRPr="004308B1" w:rsidRDefault="008D3C2F" w:rsidP="00E819CC"/>
        </w:tc>
      </w:tr>
      <w:tr w:rsidR="00951BB9" w:rsidRPr="004308B1" w14:paraId="34EBD989" w14:textId="77777777" w:rsidTr="007E3FB9">
        <w:tc>
          <w:tcPr>
            <w:tcW w:w="9640" w:type="dxa"/>
          </w:tcPr>
          <w:p w14:paraId="72044C57" w14:textId="626DAF18" w:rsidR="00951BB9" w:rsidRPr="004308B1" w:rsidRDefault="008D3C2F" w:rsidP="00E819CC">
            <w:pPr>
              <w:tabs>
                <w:tab w:val="left" w:pos="1148"/>
              </w:tabs>
            </w:pPr>
            <w:r w:rsidRPr="004308B1">
              <w:t>When using simulated activities, can you</w:t>
            </w:r>
            <w:r w:rsidR="00951BB9" w:rsidRPr="004308B1">
              <w:t xml:space="preserve"> ensure that you have adequate opportunity to observe and give feedback</w:t>
            </w:r>
            <w:r w:rsidRPr="004308B1">
              <w:t xml:space="preserve"> to students along the way</w:t>
            </w:r>
            <w:r w:rsidR="00951BB9" w:rsidRPr="004308B1">
              <w:t>?</w:t>
            </w:r>
          </w:p>
        </w:tc>
        <w:tc>
          <w:tcPr>
            <w:tcW w:w="425" w:type="dxa"/>
          </w:tcPr>
          <w:p w14:paraId="29F19B9F" w14:textId="77777777" w:rsidR="00951BB9" w:rsidRPr="004308B1" w:rsidRDefault="00951BB9" w:rsidP="00E819CC"/>
        </w:tc>
      </w:tr>
      <w:tr w:rsidR="00F96A1A" w:rsidRPr="004308B1" w14:paraId="437A9CC6" w14:textId="77777777" w:rsidTr="007E3FB9">
        <w:tc>
          <w:tcPr>
            <w:tcW w:w="9640" w:type="dxa"/>
          </w:tcPr>
          <w:p w14:paraId="13F38C9D" w14:textId="55E50EA7" w:rsidR="00F96A1A" w:rsidRPr="004308B1" w:rsidRDefault="00951BB9" w:rsidP="00E819CC">
            <w:r w:rsidRPr="004308B1">
              <w:t xml:space="preserve">Can you identify a meaningful reflection activity that students might use to integrate the </w:t>
            </w:r>
            <w:r w:rsidR="00AB5E63" w:rsidRPr="004308B1">
              <w:t xml:space="preserve">experience </w:t>
            </w:r>
            <w:r w:rsidRPr="004308B1">
              <w:t>with either the course topics or their career and professional lives in relation to those course topics?</w:t>
            </w:r>
          </w:p>
        </w:tc>
        <w:tc>
          <w:tcPr>
            <w:tcW w:w="425" w:type="dxa"/>
          </w:tcPr>
          <w:p w14:paraId="01660FD9" w14:textId="77777777" w:rsidR="00F96A1A" w:rsidRPr="004308B1" w:rsidRDefault="00F96A1A" w:rsidP="00E819CC"/>
        </w:tc>
      </w:tr>
    </w:tbl>
    <w:p w14:paraId="5D548E49" w14:textId="65656704" w:rsidR="00425220" w:rsidRDefault="00425220" w:rsidP="00E819CC"/>
    <w:sectPr w:rsidR="00425220" w:rsidSect="00733B4F">
      <w:headerReference w:type="default" r:id="rId10"/>
      <w:footerReference w:type="even" r:id="rId11"/>
      <w:footerReference w:type="default" r:id="rId12"/>
      <w:pgSz w:w="12240" w:h="15840"/>
      <w:pgMar w:top="1276" w:right="1440" w:bottom="851"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B66F3" w14:textId="77777777" w:rsidR="00C25302" w:rsidRDefault="00C25302" w:rsidP="00C25302">
      <w:pPr>
        <w:spacing w:after="0" w:line="240" w:lineRule="auto"/>
      </w:pPr>
      <w:r>
        <w:separator/>
      </w:r>
    </w:p>
  </w:endnote>
  <w:endnote w:type="continuationSeparator" w:id="0">
    <w:p w14:paraId="10FF4D5C" w14:textId="77777777" w:rsidR="00C25302" w:rsidRDefault="00C25302" w:rsidP="00C2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898476"/>
      <w:docPartObj>
        <w:docPartGallery w:val="Page Numbers (Bottom of Page)"/>
        <w:docPartUnique/>
      </w:docPartObj>
    </w:sdtPr>
    <w:sdtEndPr>
      <w:rPr>
        <w:noProof/>
      </w:rPr>
    </w:sdtEndPr>
    <w:sdtContent>
      <w:p w14:paraId="44C2705A" w14:textId="767FDF8D" w:rsidR="00326909" w:rsidRDefault="00326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064E98" w14:textId="77777777" w:rsidR="00326909" w:rsidRDefault="0032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960DE" w14:textId="0FEC2593" w:rsidR="00714797" w:rsidRPr="00714797" w:rsidRDefault="00714797" w:rsidP="00714797">
    <w:pPr>
      <w:pStyle w:val="Footer"/>
      <w:rPr>
        <w:sz w:val="20"/>
        <w:szCs w:val="20"/>
      </w:rPr>
    </w:pPr>
    <w:r w:rsidRPr="00714797">
      <w:rPr>
        <w:sz w:val="20"/>
        <w:szCs w:val="20"/>
      </w:rPr>
      <w:t xml:space="preserve">Allyson Skene, </w:t>
    </w:r>
    <w:r w:rsidR="00AC1EF0">
      <w:rPr>
        <w:sz w:val="20"/>
        <w:szCs w:val="20"/>
      </w:rPr>
      <w:t>Anna Galka,</w:t>
    </w:r>
    <w:r w:rsidR="00B248A4">
      <w:rPr>
        <w:sz w:val="20"/>
        <w:szCs w:val="20"/>
      </w:rPr>
      <w:t xml:space="preserve"> and</w:t>
    </w:r>
    <w:r w:rsidR="00AC1EF0">
      <w:rPr>
        <w:sz w:val="20"/>
        <w:szCs w:val="20"/>
      </w:rPr>
      <w:t xml:space="preserve"> Jane Sylvester, </w:t>
    </w:r>
    <w:r w:rsidRPr="00714797">
      <w:rPr>
        <w:sz w:val="20"/>
        <w:szCs w:val="20"/>
      </w:rPr>
      <w:t>University of Windsor</w:t>
    </w:r>
    <w:r>
      <w:rPr>
        <w:sz w:val="20"/>
        <w:szCs w:val="20"/>
      </w:rPr>
      <w:t>,</w:t>
    </w:r>
    <w:r w:rsidRPr="00714797">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D8FAA" w14:textId="77777777" w:rsidR="00C25302" w:rsidRDefault="00C25302" w:rsidP="00C25302">
      <w:pPr>
        <w:spacing w:after="0" w:line="240" w:lineRule="auto"/>
      </w:pPr>
      <w:r>
        <w:separator/>
      </w:r>
    </w:p>
  </w:footnote>
  <w:footnote w:type="continuationSeparator" w:id="0">
    <w:p w14:paraId="177FBD9B" w14:textId="77777777" w:rsidR="00C25302" w:rsidRDefault="00C25302" w:rsidP="00C25302">
      <w:pPr>
        <w:spacing w:after="0" w:line="240" w:lineRule="auto"/>
      </w:pPr>
      <w:r>
        <w:continuationSeparator/>
      </w:r>
    </w:p>
  </w:footnote>
  <w:footnote w:id="1">
    <w:p w14:paraId="46C8C736" w14:textId="4EB04C93" w:rsidR="00C25302" w:rsidRPr="00714797" w:rsidRDefault="00C25302">
      <w:pPr>
        <w:pStyle w:val="FootnoteText"/>
        <w:rPr>
          <w:sz w:val="18"/>
          <w:szCs w:val="18"/>
        </w:rPr>
      </w:pPr>
      <w:r>
        <w:rPr>
          <w:rStyle w:val="FootnoteReference"/>
        </w:rPr>
        <w:footnoteRef/>
      </w:r>
      <w:r>
        <w:t xml:space="preserve"> </w:t>
      </w:r>
      <w:r w:rsidR="00DE129B">
        <w:t>The following link is a list</w:t>
      </w:r>
      <w:r>
        <w:t xml:space="preserve"> </w:t>
      </w:r>
      <w:r w:rsidR="006354E6">
        <w:t>of</w:t>
      </w:r>
      <w:r>
        <w:t xml:space="preserve"> resources for a variety of disciplines</w:t>
      </w:r>
      <w:r w:rsidR="006354E6">
        <w:t>, including virtual la</w:t>
      </w:r>
      <w:r w:rsidR="00F61CAD">
        <w:t>b</w:t>
      </w:r>
      <w:r w:rsidR="006354E6">
        <w:t>s and simulations</w:t>
      </w:r>
      <w:r>
        <w:t xml:space="preserve">: </w:t>
      </w:r>
      <w:hyperlink r:id="rId1" w:anchor="gid=0" w:history="1">
        <w:r w:rsidR="00714797" w:rsidRPr="00714797">
          <w:rPr>
            <w:rStyle w:val="Hyperlink"/>
            <w:sz w:val="18"/>
            <w:szCs w:val="18"/>
          </w:rPr>
          <w:t>https://docs.google.com/spreadsheets/d/1bxr2rylK9zUWh0KZCTv9r8ZRcm9QON3P7yLXfJMxmnU/edit#gid=0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1FE5" w14:textId="2A29F9F3" w:rsidR="00326909" w:rsidRDefault="00326909">
    <w:pPr>
      <w:pStyle w:val="Header"/>
    </w:pPr>
    <w:r>
      <w:rPr>
        <w:noProof/>
      </w:rPr>
      <w:drawing>
        <wp:inline distT="0" distB="0" distL="0" distR="0" wp14:anchorId="48579302" wp14:editId="700337D2">
          <wp:extent cx="1521732" cy="581025"/>
          <wp:effectExtent l="0" t="0" r="254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Logo_2L_horz.jpg"/>
                  <pic:cNvPicPr/>
                </pic:nvPicPr>
                <pic:blipFill>
                  <a:blip r:embed="rId1">
                    <a:extLst>
                      <a:ext uri="{28A0092B-C50C-407E-A947-70E740481C1C}">
                        <a14:useLocalDpi xmlns:a14="http://schemas.microsoft.com/office/drawing/2010/main" val="0"/>
                      </a:ext>
                    </a:extLst>
                  </a:blip>
                  <a:stretch>
                    <a:fillRect/>
                  </a:stretch>
                </pic:blipFill>
                <pic:spPr>
                  <a:xfrm>
                    <a:off x="0" y="0"/>
                    <a:ext cx="1567896" cy="5986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BE"/>
    <w:rsid w:val="00016F4F"/>
    <w:rsid w:val="00044A53"/>
    <w:rsid w:val="00065405"/>
    <w:rsid w:val="000832FE"/>
    <w:rsid w:val="000C2190"/>
    <w:rsid w:val="00144BB2"/>
    <w:rsid w:val="0016231E"/>
    <w:rsid w:val="00165C4C"/>
    <w:rsid w:val="00182953"/>
    <w:rsid w:val="00197C64"/>
    <w:rsid w:val="001C3F81"/>
    <w:rsid w:val="001C6DB0"/>
    <w:rsid w:val="002218C0"/>
    <w:rsid w:val="00244337"/>
    <w:rsid w:val="002619F1"/>
    <w:rsid w:val="002F25CA"/>
    <w:rsid w:val="002F31FA"/>
    <w:rsid w:val="003136D3"/>
    <w:rsid w:val="00326909"/>
    <w:rsid w:val="00331D24"/>
    <w:rsid w:val="0034455A"/>
    <w:rsid w:val="003446D5"/>
    <w:rsid w:val="003625B7"/>
    <w:rsid w:val="00380EFB"/>
    <w:rsid w:val="003C6FD7"/>
    <w:rsid w:val="003D0736"/>
    <w:rsid w:val="003F7049"/>
    <w:rsid w:val="00425220"/>
    <w:rsid w:val="004308B1"/>
    <w:rsid w:val="00461490"/>
    <w:rsid w:val="004A1DA7"/>
    <w:rsid w:val="004C69F5"/>
    <w:rsid w:val="004D7659"/>
    <w:rsid w:val="004E2988"/>
    <w:rsid w:val="00545A1B"/>
    <w:rsid w:val="00550D0B"/>
    <w:rsid w:val="00555B52"/>
    <w:rsid w:val="006226AD"/>
    <w:rsid w:val="00623D68"/>
    <w:rsid w:val="006354E6"/>
    <w:rsid w:val="00655C23"/>
    <w:rsid w:val="006638D2"/>
    <w:rsid w:val="00685CC2"/>
    <w:rsid w:val="006C374B"/>
    <w:rsid w:val="007061E4"/>
    <w:rsid w:val="00714797"/>
    <w:rsid w:val="00721570"/>
    <w:rsid w:val="00733B4F"/>
    <w:rsid w:val="007631B6"/>
    <w:rsid w:val="007909D6"/>
    <w:rsid w:val="007A7B57"/>
    <w:rsid w:val="007E3FB9"/>
    <w:rsid w:val="008410FA"/>
    <w:rsid w:val="008577A7"/>
    <w:rsid w:val="0089304F"/>
    <w:rsid w:val="008D3AA2"/>
    <w:rsid w:val="008D3C2F"/>
    <w:rsid w:val="008E7B75"/>
    <w:rsid w:val="00934D8D"/>
    <w:rsid w:val="00951BB9"/>
    <w:rsid w:val="00972368"/>
    <w:rsid w:val="009D3AF5"/>
    <w:rsid w:val="00A10C44"/>
    <w:rsid w:val="00A3039C"/>
    <w:rsid w:val="00A37C42"/>
    <w:rsid w:val="00A959EC"/>
    <w:rsid w:val="00AB5E63"/>
    <w:rsid w:val="00AC1EF0"/>
    <w:rsid w:val="00AC7B75"/>
    <w:rsid w:val="00B22644"/>
    <w:rsid w:val="00B248A4"/>
    <w:rsid w:val="00B81CE7"/>
    <w:rsid w:val="00BB7A9B"/>
    <w:rsid w:val="00BE63BE"/>
    <w:rsid w:val="00C25302"/>
    <w:rsid w:val="00C84A0A"/>
    <w:rsid w:val="00CB17FF"/>
    <w:rsid w:val="00CC0492"/>
    <w:rsid w:val="00CE0A5B"/>
    <w:rsid w:val="00D042AE"/>
    <w:rsid w:val="00D31202"/>
    <w:rsid w:val="00D67B00"/>
    <w:rsid w:val="00DB3489"/>
    <w:rsid w:val="00DE01D0"/>
    <w:rsid w:val="00DE129B"/>
    <w:rsid w:val="00E819CC"/>
    <w:rsid w:val="00ED6653"/>
    <w:rsid w:val="00F35277"/>
    <w:rsid w:val="00F61CAD"/>
    <w:rsid w:val="00F861FC"/>
    <w:rsid w:val="00F86C2B"/>
    <w:rsid w:val="00F96A1A"/>
    <w:rsid w:val="00FC6A5F"/>
    <w:rsid w:val="00FD2104"/>
    <w:rsid w:val="00FF50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C6DDD2"/>
  <w15:chartTrackingRefBased/>
  <w15:docId w15:val="{8CC9765B-0239-4076-B30F-D0743B05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B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7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5A"/>
    <w:rPr>
      <w:rFonts w:ascii="Segoe UI" w:hAnsi="Segoe UI" w:cs="Segoe UI"/>
      <w:sz w:val="18"/>
      <w:szCs w:val="18"/>
    </w:rPr>
  </w:style>
  <w:style w:type="table" w:styleId="TableGrid">
    <w:name w:val="Table Grid"/>
    <w:basedOn w:val="TableNormal"/>
    <w:uiPriority w:val="39"/>
    <w:rsid w:val="0034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1DA7"/>
    <w:rPr>
      <w:sz w:val="16"/>
      <w:szCs w:val="16"/>
    </w:rPr>
  </w:style>
  <w:style w:type="paragraph" w:styleId="CommentText">
    <w:name w:val="annotation text"/>
    <w:basedOn w:val="Normal"/>
    <w:link w:val="CommentTextChar"/>
    <w:uiPriority w:val="99"/>
    <w:semiHidden/>
    <w:unhideWhenUsed/>
    <w:rsid w:val="004A1DA7"/>
    <w:pPr>
      <w:spacing w:line="240" w:lineRule="auto"/>
    </w:pPr>
    <w:rPr>
      <w:sz w:val="20"/>
      <w:szCs w:val="20"/>
    </w:rPr>
  </w:style>
  <w:style w:type="character" w:customStyle="1" w:styleId="CommentTextChar">
    <w:name w:val="Comment Text Char"/>
    <w:basedOn w:val="DefaultParagraphFont"/>
    <w:link w:val="CommentText"/>
    <w:uiPriority w:val="99"/>
    <w:semiHidden/>
    <w:rsid w:val="004A1DA7"/>
    <w:rPr>
      <w:sz w:val="20"/>
      <w:szCs w:val="20"/>
    </w:rPr>
  </w:style>
  <w:style w:type="paragraph" w:styleId="CommentSubject">
    <w:name w:val="annotation subject"/>
    <w:basedOn w:val="CommentText"/>
    <w:next w:val="CommentText"/>
    <w:link w:val="CommentSubjectChar"/>
    <w:uiPriority w:val="99"/>
    <w:semiHidden/>
    <w:unhideWhenUsed/>
    <w:rsid w:val="004A1DA7"/>
    <w:rPr>
      <w:b/>
      <w:bCs/>
    </w:rPr>
  </w:style>
  <w:style w:type="character" w:customStyle="1" w:styleId="CommentSubjectChar">
    <w:name w:val="Comment Subject Char"/>
    <w:basedOn w:val="CommentTextChar"/>
    <w:link w:val="CommentSubject"/>
    <w:uiPriority w:val="99"/>
    <w:semiHidden/>
    <w:rsid w:val="004A1DA7"/>
    <w:rPr>
      <w:b/>
      <w:bCs/>
      <w:sz w:val="20"/>
      <w:szCs w:val="20"/>
    </w:rPr>
  </w:style>
  <w:style w:type="paragraph" w:styleId="FootnoteText">
    <w:name w:val="footnote text"/>
    <w:basedOn w:val="Normal"/>
    <w:link w:val="FootnoteTextChar"/>
    <w:uiPriority w:val="99"/>
    <w:semiHidden/>
    <w:unhideWhenUsed/>
    <w:rsid w:val="00C25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302"/>
    <w:rPr>
      <w:sz w:val="20"/>
      <w:szCs w:val="20"/>
    </w:rPr>
  </w:style>
  <w:style w:type="character" w:styleId="FootnoteReference">
    <w:name w:val="footnote reference"/>
    <w:basedOn w:val="DefaultParagraphFont"/>
    <w:uiPriority w:val="99"/>
    <w:semiHidden/>
    <w:unhideWhenUsed/>
    <w:rsid w:val="00C25302"/>
    <w:rPr>
      <w:vertAlign w:val="superscript"/>
    </w:rPr>
  </w:style>
  <w:style w:type="character" w:styleId="Hyperlink">
    <w:name w:val="Hyperlink"/>
    <w:basedOn w:val="DefaultParagraphFont"/>
    <w:uiPriority w:val="99"/>
    <w:unhideWhenUsed/>
    <w:rsid w:val="00C25302"/>
    <w:rPr>
      <w:color w:val="0563C1" w:themeColor="hyperlink"/>
      <w:u w:val="single"/>
    </w:rPr>
  </w:style>
  <w:style w:type="character" w:styleId="UnresolvedMention">
    <w:name w:val="Unresolved Mention"/>
    <w:basedOn w:val="DefaultParagraphFont"/>
    <w:uiPriority w:val="99"/>
    <w:semiHidden/>
    <w:unhideWhenUsed/>
    <w:rsid w:val="00C25302"/>
    <w:rPr>
      <w:color w:val="605E5C"/>
      <w:shd w:val="clear" w:color="auto" w:fill="E1DFDD"/>
    </w:rPr>
  </w:style>
  <w:style w:type="paragraph" w:styleId="Header">
    <w:name w:val="header"/>
    <w:basedOn w:val="Normal"/>
    <w:link w:val="HeaderChar"/>
    <w:uiPriority w:val="99"/>
    <w:unhideWhenUsed/>
    <w:rsid w:val="00714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97"/>
  </w:style>
  <w:style w:type="paragraph" w:styleId="Footer">
    <w:name w:val="footer"/>
    <w:basedOn w:val="Normal"/>
    <w:link w:val="FooterChar"/>
    <w:uiPriority w:val="99"/>
    <w:unhideWhenUsed/>
    <w:rsid w:val="00714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97"/>
  </w:style>
  <w:style w:type="character" w:customStyle="1" w:styleId="Heading1Char">
    <w:name w:val="Heading 1 Char"/>
    <w:basedOn w:val="DefaultParagraphFont"/>
    <w:link w:val="Heading1"/>
    <w:uiPriority w:val="9"/>
    <w:rsid w:val="00D67B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7B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spreadsheets/d/1bxr2rylK9zUWh0KZCTv9r8ZRcm9QON3P7yLXfJMxmnU/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2179AFE8A164194062BD5E4D37E63" ma:contentTypeVersion="15" ma:contentTypeDescription="Create a new document." ma:contentTypeScope="" ma:versionID="19427ecd8df8766693ff627e05030cfb">
  <xsd:schema xmlns:xsd="http://www.w3.org/2001/XMLSchema" xmlns:xs="http://www.w3.org/2001/XMLSchema" xmlns:p="http://schemas.microsoft.com/office/2006/metadata/properties" xmlns:ns3="3025a59a-042e-4c67-991a-0f3fe9e0bc32" xmlns:ns4="f2387577-5bef-405b-9f35-9bafc6f02899" targetNamespace="http://schemas.microsoft.com/office/2006/metadata/properties" ma:root="true" ma:fieldsID="0d08b56c2e9e2220cc66eb7f503e2b23" ns3:_="" ns4:_="">
    <xsd:import namespace="3025a59a-042e-4c67-991a-0f3fe9e0bc32"/>
    <xsd:import namespace="f2387577-5bef-405b-9f35-9bafc6f0289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5a59a-042e-4c67-991a-0f3fe9e0bc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387577-5bef-405b-9f35-9bafc6f028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C72C-D943-4252-AF70-F32FC046ABC7}">
  <ds:schemaRefs>
    <ds:schemaRef ds:uri="http://schemas.microsoft.com/office/2006/documentManagement/types"/>
    <ds:schemaRef ds:uri="http://schemas.microsoft.com/office/infopath/2007/PartnerControls"/>
    <ds:schemaRef ds:uri="http://www.w3.org/XML/1998/namespace"/>
    <ds:schemaRef ds:uri="http://purl.org/dc/elements/1.1/"/>
    <ds:schemaRef ds:uri="f2387577-5bef-405b-9f35-9bafc6f02899"/>
    <ds:schemaRef ds:uri="http://purl.org/dc/terms/"/>
    <ds:schemaRef ds:uri="http://schemas.openxmlformats.org/package/2006/metadata/core-properties"/>
    <ds:schemaRef ds:uri="3025a59a-042e-4c67-991a-0f3fe9e0bc3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00242E8-395E-4E4A-AC28-1EC52BF7A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5a59a-042e-4c67-991a-0f3fe9e0bc32"/>
    <ds:schemaRef ds:uri="f2387577-5bef-405b-9f35-9bafc6f02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E5CFB-3C8A-4552-BACA-3A304A636847}">
  <ds:schemaRefs>
    <ds:schemaRef ds:uri="http://schemas.microsoft.com/sharepoint/v3/contenttype/forms"/>
  </ds:schemaRefs>
</ds:datastoreItem>
</file>

<file path=customXml/itemProps4.xml><?xml version="1.0" encoding="utf-8"?>
<ds:datastoreItem xmlns:ds="http://schemas.openxmlformats.org/officeDocument/2006/customXml" ds:itemID="{F9B36A6F-12F1-4417-BD2F-1A7122A1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dc:creator>
  <cp:keywords/>
  <dc:description/>
  <cp:lastModifiedBy>Anna Galka</cp:lastModifiedBy>
  <cp:revision>9</cp:revision>
  <dcterms:created xsi:type="dcterms:W3CDTF">2020-06-22T13:58:00Z</dcterms:created>
  <dcterms:modified xsi:type="dcterms:W3CDTF">2020-07-22T17:19:00Z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0x0101000472179AFE8A164194062BD5E4D37E63</vt:lpwstr>
  </property>
</Properties>
</file>