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122"/>
        <w:gridCol w:w="5400"/>
        <w:gridCol w:w="5001"/>
      </w:tblGrid>
      <w:tr w:rsidR="00583CD4" w:rsidTr="0053563B">
        <w:trPr>
          <w:jc w:val="center"/>
        </w:trPr>
        <w:tc>
          <w:tcPr>
            <w:tcW w:w="14143" w:type="dxa"/>
            <w:gridSpan w:val="4"/>
            <w:tcMar>
              <w:top w:w="72" w:type="dxa"/>
              <w:left w:w="115" w:type="dxa"/>
              <w:bottom w:w="72" w:type="dxa"/>
              <w:right w:w="115" w:type="dxa"/>
            </w:tcMar>
          </w:tcPr>
          <w:p w:rsidR="00583CD4" w:rsidRDefault="00583CD4" w:rsidP="008C62BC">
            <w:pPr>
              <w:rPr>
                <w:b/>
                <w:sz w:val="28"/>
                <w:szCs w:val="28"/>
              </w:rPr>
            </w:pPr>
            <w:bookmarkStart w:id="0" w:name="_GoBack"/>
            <w:bookmarkEnd w:id="0"/>
            <w:r>
              <w:rPr>
                <w:b/>
                <w:sz w:val="28"/>
                <w:szCs w:val="28"/>
              </w:rPr>
              <w:t>100%: Best Practices in Grading</w:t>
            </w:r>
          </w:p>
          <w:p w:rsidR="00951FE6" w:rsidRPr="00951FE6" w:rsidRDefault="00951FE6" w:rsidP="008C62BC">
            <w:pPr>
              <w:rPr>
                <w:b/>
                <w:sz w:val="28"/>
                <w:szCs w:val="28"/>
              </w:rPr>
            </w:pPr>
          </w:p>
        </w:tc>
      </w:tr>
      <w:tr w:rsidR="00E35346" w:rsidTr="0053563B">
        <w:trPr>
          <w:jc w:val="center"/>
        </w:trPr>
        <w:tc>
          <w:tcPr>
            <w:tcW w:w="1620" w:type="dxa"/>
            <w:tcMar>
              <w:top w:w="72" w:type="dxa"/>
              <w:left w:w="115" w:type="dxa"/>
              <w:bottom w:w="72" w:type="dxa"/>
              <w:right w:w="115" w:type="dxa"/>
            </w:tcMar>
          </w:tcPr>
          <w:p w:rsidR="006F2D7C" w:rsidRDefault="006F2D7C" w:rsidP="009B71EA"/>
        </w:tc>
        <w:tc>
          <w:tcPr>
            <w:tcW w:w="2122" w:type="dxa"/>
            <w:tcMar>
              <w:top w:w="72" w:type="dxa"/>
              <w:left w:w="115" w:type="dxa"/>
              <w:bottom w:w="72" w:type="dxa"/>
              <w:right w:w="115" w:type="dxa"/>
            </w:tcMar>
          </w:tcPr>
          <w:p w:rsidR="006F2D7C" w:rsidRDefault="006F2D7C" w:rsidP="009B71EA">
            <w:r>
              <w:t>Strategy</w:t>
            </w:r>
          </w:p>
        </w:tc>
        <w:tc>
          <w:tcPr>
            <w:tcW w:w="5400" w:type="dxa"/>
            <w:tcMar>
              <w:top w:w="72" w:type="dxa"/>
              <w:left w:w="115" w:type="dxa"/>
              <w:bottom w:w="72" w:type="dxa"/>
              <w:right w:w="115" w:type="dxa"/>
            </w:tcMar>
          </w:tcPr>
          <w:p w:rsidR="006F2D7C" w:rsidRDefault="006F2D7C" w:rsidP="008C62BC">
            <w:r>
              <w:t>Rationale</w:t>
            </w:r>
          </w:p>
        </w:tc>
        <w:tc>
          <w:tcPr>
            <w:tcW w:w="5001" w:type="dxa"/>
            <w:tcMar>
              <w:top w:w="72" w:type="dxa"/>
              <w:left w:w="115" w:type="dxa"/>
              <w:bottom w:w="72" w:type="dxa"/>
              <w:right w:w="115" w:type="dxa"/>
            </w:tcMar>
          </w:tcPr>
          <w:p w:rsidR="006F2D7C" w:rsidRDefault="006F2D7C" w:rsidP="008C62BC">
            <w:r>
              <w:t>Making it Work</w:t>
            </w:r>
          </w:p>
        </w:tc>
      </w:tr>
      <w:tr w:rsidR="00583CD4" w:rsidTr="0053563B">
        <w:trPr>
          <w:jc w:val="center"/>
        </w:trPr>
        <w:tc>
          <w:tcPr>
            <w:tcW w:w="3742" w:type="dxa"/>
            <w:gridSpan w:val="2"/>
            <w:shd w:val="clear" w:color="auto" w:fill="EEECE1" w:themeFill="background2"/>
            <w:tcMar>
              <w:top w:w="72" w:type="dxa"/>
              <w:left w:w="115" w:type="dxa"/>
              <w:bottom w:w="72" w:type="dxa"/>
              <w:right w:w="115" w:type="dxa"/>
            </w:tcMar>
          </w:tcPr>
          <w:p w:rsidR="00583CD4" w:rsidRDefault="00583CD4" w:rsidP="006F2D7C">
            <w:r>
              <w:t>Setting the Stage</w:t>
            </w:r>
          </w:p>
        </w:tc>
        <w:tc>
          <w:tcPr>
            <w:tcW w:w="5400" w:type="dxa"/>
            <w:shd w:val="clear" w:color="auto" w:fill="EEECE1" w:themeFill="background2"/>
            <w:tcMar>
              <w:top w:w="72" w:type="dxa"/>
              <w:left w:w="115" w:type="dxa"/>
              <w:bottom w:w="72" w:type="dxa"/>
              <w:right w:w="115" w:type="dxa"/>
            </w:tcMar>
          </w:tcPr>
          <w:p w:rsidR="00583CD4" w:rsidRDefault="00583CD4" w:rsidP="008C62BC"/>
        </w:tc>
        <w:tc>
          <w:tcPr>
            <w:tcW w:w="5001" w:type="dxa"/>
            <w:shd w:val="clear" w:color="auto" w:fill="EEECE1" w:themeFill="background2"/>
            <w:tcMar>
              <w:top w:w="72" w:type="dxa"/>
              <w:left w:w="115" w:type="dxa"/>
              <w:bottom w:w="72" w:type="dxa"/>
              <w:right w:w="115" w:type="dxa"/>
            </w:tcMar>
          </w:tcPr>
          <w:p w:rsidR="00583CD4" w:rsidRDefault="00583CD4" w:rsidP="008C62BC"/>
        </w:tc>
      </w:tr>
      <w:tr w:rsidR="00E35346" w:rsidTr="0053563B">
        <w:trPr>
          <w:jc w:val="center"/>
        </w:trPr>
        <w:tc>
          <w:tcPr>
            <w:tcW w:w="1620" w:type="dxa"/>
            <w:tcMar>
              <w:top w:w="72" w:type="dxa"/>
              <w:left w:w="115" w:type="dxa"/>
              <w:bottom w:w="72" w:type="dxa"/>
              <w:right w:w="115" w:type="dxa"/>
            </w:tcMar>
          </w:tcPr>
          <w:p w:rsidR="006F2D7C" w:rsidRDefault="006F2D7C" w:rsidP="008C62BC"/>
        </w:tc>
        <w:tc>
          <w:tcPr>
            <w:tcW w:w="2122" w:type="dxa"/>
            <w:tcMar>
              <w:top w:w="72" w:type="dxa"/>
              <w:left w:w="115" w:type="dxa"/>
              <w:bottom w:w="72" w:type="dxa"/>
              <w:right w:w="115" w:type="dxa"/>
            </w:tcMar>
          </w:tcPr>
          <w:p w:rsidR="006F2D7C" w:rsidRDefault="00583CD4" w:rsidP="008C62BC">
            <w:r>
              <w:t>Make your expectations clear</w:t>
            </w:r>
          </w:p>
        </w:tc>
        <w:tc>
          <w:tcPr>
            <w:tcW w:w="5400" w:type="dxa"/>
            <w:tcMar>
              <w:top w:w="72" w:type="dxa"/>
              <w:left w:w="115" w:type="dxa"/>
              <w:bottom w:w="72" w:type="dxa"/>
              <w:right w:w="115" w:type="dxa"/>
            </w:tcMar>
          </w:tcPr>
          <w:p w:rsidR="006F2D7C" w:rsidRDefault="00583CD4" w:rsidP="00D73C23">
            <w:r>
              <w:t xml:space="preserve">The more explicit you are about the objectives of the assignment, the more likely it is that students will be able to meet </w:t>
            </w:r>
            <w:r w:rsidR="00D73C23">
              <w:t>them</w:t>
            </w:r>
            <w:r>
              <w:t xml:space="preserve">.  </w:t>
            </w:r>
          </w:p>
        </w:tc>
        <w:tc>
          <w:tcPr>
            <w:tcW w:w="5001" w:type="dxa"/>
            <w:tcMar>
              <w:top w:w="72" w:type="dxa"/>
              <w:left w:w="115" w:type="dxa"/>
              <w:bottom w:w="72" w:type="dxa"/>
              <w:right w:w="115" w:type="dxa"/>
            </w:tcMar>
          </w:tcPr>
          <w:p w:rsidR="006F2D7C" w:rsidRDefault="00583CD4" w:rsidP="008C62BC">
            <w:r>
              <w:t>K</w:t>
            </w:r>
            <w:r w:rsidR="006F2D7C">
              <w:t xml:space="preserve">ey tools for communicating expectations are your syllabus, rubrics, and assignment sheets. </w:t>
            </w:r>
          </w:p>
        </w:tc>
      </w:tr>
      <w:tr w:rsidR="00D73C23" w:rsidTr="0053563B">
        <w:trPr>
          <w:jc w:val="center"/>
        </w:trPr>
        <w:tc>
          <w:tcPr>
            <w:tcW w:w="1620" w:type="dxa"/>
            <w:tcMar>
              <w:top w:w="72" w:type="dxa"/>
              <w:left w:w="115" w:type="dxa"/>
              <w:bottom w:w="72" w:type="dxa"/>
              <w:right w:w="115" w:type="dxa"/>
            </w:tcMar>
          </w:tcPr>
          <w:p w:rsidR="00D73C23" w:rsidRDefault="00D73C23" w:rsidP="006F2D7C"/>
        </w:tc>
        <w:tc>
          <w:tcPr>
            <w:tcW w:w="2122" w:type="dxa"/>
            <w:tcMar>
              <w:top w:w="72" w:type="dxa"/>
              <w:left w:w="115" w:type="dxa"/>
              <w:bottom w:w="72" w:type="dxa"/>
              <w:right w:w="115" w:type="dxa"/>
            </w:tcMar>
          </w:tcPr>
          <w:p w:rsidR="00D73C23" w:rsidRDefault="004C783F" w:rsidP="00D73C23">
            <w:r>
              <w:t>Use frequent</w:t>
            </w:r>
            <w:r w:rsidR="00D73C23">
              <w:t xml:space="preserve"> assessments in a variety of formats</w:t>
            </w:r>
          </w:p>
        </w:tc>
        <w:tc>
          <w:tcPr>
            <w:tcW w:w="5400" w:type="dxa"/>
            <w:tcMar>
              <w:top w:w="72" w:type="dxa"/>
              <w:left w:w="115" w:type="dxa"/>
              <w:bottom w:w="72" w:type="dxa"/>
              <w:right w:w="115" w:type="dxa"/>
            </w:tcMar>
          </w:tcPr>
          <w:p w:rsidR="00D73C23" w:rsidRDefault="004C783F" w:rsidP="004C783F">
            <w:r>
              <w:t xml:space="preserve">Frequent assessment </w:t>
            </w:r>
            <w:r w:rsidR="00D73C23">
              <w:t xml:space="preserve">ensures that students have ample opportunity to earn grades without the pressure of a high-stakes all-or-nothing assignment.  Multiple formats gives students with diverse learning styles an opportunity to capitalize on their strengths, while </w:t>
            </w:r>
            <w:r>
              <w:t>building new skills.</w:t>
            </w:r>
          </w:p>
        </w:tc>
        <w:tc>
          <w:tcPr>
            <w:tcW w:w="5001" w:type="dxa"/>
            <w:tcMar>
              <w:top w:w="72" w:type="dxa"/>
              <w:left w:w="115" w:type="dxa"/>
              <w:bottom w:w="72" w:type="dxa"/>
              <w:right w:w="115" w:type="dxa"/>
            </w:tcMar>
          </w:tcPr>
          <w:p w:rsidR="00D73C23" w:rsidRDefault="004C783F" w:rsidP="004C783F">
            <w:r>
              <w:t xml:space="preserve">Experiment with different types of assignments (including low-stakes self-testing and reflection, as well as high-stakes formal assignments) to </w:t>
            </w:r>
            <w:r w:rsidR="00D73C23">
              <w:t xml:space="preserve"> help students approach the subject matter from different perspectives.</w:t>
            </w:r>
          </w:p>
        </w:tc>
      </w:tr>
      <w:tr w:rsidR="00D73C23" w:rsidTr="0053563B">
        <w:trPr>
          <w:jc w:val="center"/>
        </w:trPr>
        <w:tc>
          <w:tcPr>
            <w:tcW w:w="1620" w:type="dxa"/>
            <w:tcMar>
              <w:top w:w="72" w:type="dxa"/>
              <w:left w:w="115" w:type="dxa"/>
              <w:bottom w:w="72" w:type="dxa"/>
              <w:right w:w="115" w:type="dxa"/>
            </w:tcMar>
          </w:tcPr>
          <w:p w:rsidR="00D73C23" w:rsidRDefault="00D73C23" w:rsidP="006F2D7C"/>
        </w:tc>
        <w:tc>
          <w:tcPr>
            <w:tcW w:w="2122" w:type="dxa"/>
            <w:tcMar>
              <w:top w:w="72" w:type="dxa"/>
              <w:left w:w="115" w:type="dxa"/>
              <w:bottom w:w="72" w:type="dxa"/>
              <w:right w:w="115" w:type="dxa"/>
            </w:tcMar>
          </w:tcPr>
          <w:p w:rsidR="00D73C23" w:rsidRDefault="00D73C23" w:rsidP="006F2D7C">
            <w:r>
              <w:t xml:space="preserve">Give students ownership </w:t>
            </w:r>
          </w:p>
        </w:tc>
        <w:tc>
          <w:tcPr>
            <w:tcW w:w="5400" w:type="dxa"/>
            <w:tcMar>
              <w:top w:w="72" w:type="dxa"/>
              <w:left w:w="115" w:type="dxa"/>
              <w:bottom w:w="72" w:type="dxa"/>
              <w:right w:w="115" w:type="dxa"/>
            </w:tcMar>
          </w:tcPr>
          <w:p w:rsidR="00D73C23" w:rsidRDefault="00D73C23" w:rsidP="00BA6CCC">
            <w:r>
              <w:t>“Ownership” both motivates and engages students, and can be accomplished in a variety of ways from allowing students to have voice in the types of assignments they will complete,  the topics they will work on, the criteria most appropriate for evaluation, or the weighting of the various assessments</w:t>
            </w:r>
          </w:p>
        </w:tc>
        <w:tc>
          <w:tcPr>
            <w:tcW w:w="5001" w:type="dxa"/>
            <w:tcMar>
              <w:top w:w="72" w:type="dxa"/>
              <w:left w:w="115" w:type="dxa"/>
              <w:bottom w:w="72" w:type="dxa"/>
              <w:right w:w="115" w:type="dxa"/>
            </w:tcMar>
          </w:tcPr>
          <w:p w:rsidR="00D73C23" w:rsidRDefault="00D73C23" w:rsidP="004C783F">
            <w:r>
              <w:t>While a powerful tool for engaging students, it is very important to structure their choices carefully, especially in lower levels.</w:t>
            </w:r>
            <w:r w:rsidR="004C783F">
              <w:t xml:space="preserve"> Offer only those choices that you know are consistent with the overall objectives of the course, and that will contribute to student learning.</w:t>
            </w:r>
          </w:p>
        </w:tc>
      </w:tr>
      <w:tr w:rsidR="00D73C23" w:rsidTr="0053563B">
        <w:trPr>
          <w:jc w:val="center"/>
        </w:trPr>
        <w:tc>
          <w:tcPr>
            <w:tcW w:w="1620" w:type="dxa"/>
            <w:tcMar>
              <w:top w:w="72" w:type="dxa"/>
              <w:left w:w="115" w:type="dxa"/>
              <w:bottom w:w="72" w:type="dxa"/>
              <w:right w:w="115" w:type="dxa"/>
            </w:tcMar>
          </w:tcPr>
          <w:p w:rsidR="00D73C23" w:rsidRDefault="00D73C23" w:rsidP="00152F15"/>
        </w:tc>
        <w:tc>
          <w:tcPr>
            <w:tcW w:w="2122" w:type="dxa"/>
            <w:tcMar>
              <w:top w:w="72" w:type="dxa"/>
              <w:left w:w="115" w:type="dxa"/>
              <w:bottom w:w="72" w:type="dxa"/>
              <w:right w:w="115" w:type="dxa"/>
            </w:tcMar>
          </w:tcPr>
          <w:p w:rsidR="00D73C23" w:rsidRDefault="00D73C23" w:rsidP="00BA6CCC">
            <w:r>
              <w:t>Provide models</w:t>
            </w:r>
          </w:p>
        </w:tc>
        <w:tc>
          <w:tcPr>
            <w:tcW w:w="5400" w:type="dxa"/>
            <w:tcMar>
              <w:top w:w="72" w:type="dxa"/>
              <w:left w:w="115" w:type="dxa"/>
              <w:bottom w:w="72" w:type="dxa"/>
              <w:right w:w="115" w:type="dxa"/>
            </w:tcMar>
          </w:tcPr>
          <w:p w:rsidR="00D73C23" w:rsidRDefault="00D73C23" w:rsidP="004A60ED">
            <w:r>
              <w:t xml:space="preserve">Models </w:t>
            </w:r>
            <w:r w:rsidR="004A60ED">
              <w:t>provide concrete</w:t>
            </w:r>
            <w:r>
              <w:t xml:space="preserve"> examples </w:t>
            </w:r>
            <w:r w:rsidR="004C783F">
              <w:t>of the expectations for</w:t>
            </w:r>
            <w:r>
              <w:t xml:space="preserve"> </w:t>
            </w:r>
            <w:r w:rsidR="004C783F">
              <w:t xml:space="preserve">a specific </w:t>
            </w:r>
            <w:r>
              <w:t xml:space="preserve">assignment and discipline.  They can </w:t>
            </w:r>
            <w:r w:rsidR="004A60ED">
              <w:t xml:space="preserve">be </w:t>
            </w:r>
            <w:r>
              <w:t xml:space="preserve">student samples from similar assignments, examples from professional academic work, or be </w:t>
            </w:r>
            <w:r w:rsidR="004A60ED">
              <w:t>customized for</w:t>
            </w:r>
            <w:r>
              <w:t xml:space="preserve"> the particular assignment.  </w:t>
            </w:r>
          </w:p>
        </w:tc>
        <w:tc>
          <w:tcPr>
            <w:tcW w:w="5001" w:type="dxa"/>
            <w:tcMar>
              <w:top w:w="72" w:type="dxa"/>
              <w:left w:w="115" w:type="dxa"/>
              <w:bottom w:w="72" w:type="dxa"/>
              <w:right w:w="115" w:type="dxa"/>
            </w:tcMar>
          </w:tcPr>
          <w:p w:rsidR="00D73C23" w:rsidRDefault="00D73C23" w:rsidP="004A60ED">
            <w:r>
              <w:t xml:space="preserve">Choose samples carefully and be sure to clarify for students what is being modeled. For example, a </w:t>
            </w:r>
            <w:r w:rsidR="004A60ED">
              <w:t xml:space="preserve">scholarly article might be at a much higher level than what students are </w:t>
            </w:r>
            <w:r>
              <w:t xml:space="preserve">expected to produce, but </w:t>
            </w:r>
            <w:r w:rsidR="004A60ED">
              <w:t>will still help them</w:t>
            </w:r>
            <w:r>
              <w:t xml:space="preserve"> to und</w:t>
            </w:r>
            <w:r w:rsidR="004A60ED">
              <w:t>erstand the genre and disciplinary conventions</w:t>
            </w:r>
            <w:r>
              <w:t xml:space="preserve">. </w:t>
            </w:r>
          </w:p>
        </w:tc>
      </w:tr>
      <w:tr w:rsidR="00D73C23" w:rsidTr="0053563B">
        <w:trPr>
          <w:jc w:val="center"/>
        </w:trPr>
        <w:tc>
          <w:tcPr>
            <w:tcW w:w="3742" w:type="dxa"/>
            <w:gridSpan w:val="2"/>
            <w:shd w:val="clear" w:color="auto" w:fill="EEECE1" w:themeFill="background2"/>
            <w:tcMar>
              <w:top w:w="72" w:type="dxa"/>
              <w:left w:w="115" w:type="dxa"/>
              <w:bottom w:w="72" w:type="dxa"/>
              <w:right w:w="115" w:type="dxa"/>
            </w:tcMar>
          </w:tcPr>
          <w:p w:rsidR="00D73C23" w:rsidRDefault="00D73C23" w:rsidP="00583CD4">
            <w:r>
              <w:t>Ensuring Fairness and Consistency</w:t>
            </w:r>
          </w:p>
        </w:tc>
        <w:tc>
          <w:tcPr>
            <w:tcW w:w="5400" w:type="dxa"/>
            <w:shd w:val="clear" w:color="auto" w:fill="EEECE1" w:themeFill="background2"/>
            <w:tcMar>
              <w:top w:w="72" w:type="dxa"/>
              <w:left w:w="115" w:type="dxa"/>
              <w:bottom w:w="72" w:type="dxa"/>
              <w:right w:w="115" w:type="dxa"/>
            </w:tcMar>
          </w:tcPr>
          <w:p w:rsidR="00D73C23" w:rsidRDefault="00D73C23" w:rsidP="009B71EA"/>
        </w:tc>
        <w:tc>
          <w:tcPr>
            <w:tcW w:w="5001" w:type="dxa"/>
            <w:shd w:val="clear" w:color="auto" w:fill="EEECE1" w:themeFill="background2"/>
            <w:tcMar>
              <w:top w:w="72" w:type="dxa"/>
              <w:left w:w="115" w:type="dxa"/>
              <w:bottom w:w="72" w:type="dxa"/>
              <w:right w:w="115" w:type="dxa"/>
            </w:tcMar>
          </w:tcPr>
          <w:p w:rsidR="00D73C23" w:rsidRDefault="00D73C23" w:rsidP="008C62BC"/>
        </w:tc>
      </w:tr>
      <w:tr w:rsidR="00D73C23" w:rsidTr="0053563B">
        <w:trPr>
          <w:trHeight w:val="1638"/>
          <w:jc w:val="center"/>
        </w:trPr>
        <w:tc>
          <w:tcPr>
            <w:tcW w:w="1620" w:type="dxa"/>
            <w:tcMar>
              <w:top w:w="72" w:type="dxa"/>
              <w:left w:w="115" w:type="dxa"/>
              <w:bottom w:w="72" w:type="dxa"/>
              <w:right w:w="115" w:type="dxa"/>
            </w:tcMar>
          </w:tcPr>
          <w:p w:rsidR="00D73C23" w:rsidRDefault="00D73C23" w:rsidP="006F2D7C"/>
        </w:tc>
        <w:tc>
          <w:tcPr>
            <w:tcW w:w="2122" w:type="dxa"/>
            <w:tcMar>
              <w:top w:w="72" w:type="dxa"/>
              <w:left w:w="115" w:type="dxa"/>
              <w:bottom w:w="72" w:type="dxa"/>
              <w:right w:w="115" w:type="dxa"/>
            </w:tcMar>
          </w:tcPr>
          <w:p w:rsidR="00D73C23" w:rsidRDefault="00D73C23" w:rsidP="00B651FF">
            <w:r>
              <w:t xml:space="preserve">Grade </w:t>
            </w:r>
            <w:r w:rsidR="004A60ED">
              <w:t>according to specifi</w:t>
            </w:r>
            <w:r w:rsidR="00B651FF">
              <w:t>ed</w:t>
            </w:r>
            <w:r w:rsidR="004A60ED">
              <w:t xml:space="preserve"> </w:t>
            </w:r>
            <w:r>
              <w:t xml:space="preserve"> criteria</w:t>
            </w:r>
          </w:p>
        </w:tc>
        <w:tc>
          <w:tcPr>
            <w:tcW w:w="5400" w:type="dxa"/>
            <w:tcMar>
              <w:top w:w="72" w:type="dxa"/>
              <w:left w:w="115" w:type="dxa"/>
              <w:bottom w:w="72" w:type="dxa"/>
              <w:right w:w="115" w:type="dxa"/>
            </w:tcMar>
          </w:tcPr>
          <w:p w:rsidR="004A60ED" w:rsidRDefault="00B651FF" w:rsidP="004A60ED">
            <w:r>
              <w:t xml:space="preserve">Criterion-referenced grading ensures students realize that their grades are not just subjective opinions or comparisons to their classmates, but based on specific aspects of their performance.   Being explicit about your </w:t>
            </w:r>
            <w:r w:rsidR="004A60ED">
              <w:t xml:space="preserve">grading criteria helps </w:t>
            </w:r>
            <w:r>
              <w:t xml:space="preserve">also helps student </w:t>
            </w:r>
            <w:r w:rsidR="00D73C23">
              <w:t xml:space="preserve">understand what they are expected to know and be able to do, </w:t>
            </w:r>
            <w:r>
              <w:t>and clarifies</w:t>
            </w:r>
            <w:r w:rsidR="004A60ED">
              <w:t xml:space="preserve"> where they need to focus their efforts to improve.  </w:t>
            </w:r>
          </w:p>
        </w:tc>
        <w:tc>
          <w:tcPr>
            <w:tcW w:w="5001" w:type="dxa"/>
            <w:tcMar>
              <w:top w:w="72" w:type="dxa"/>
              <w:left w:w="115" w:type="dxa"/>
              <w:bottom w:w="72" w:type="dxa"/>
              <w:right w:w="115" w:type="dxa"/>
            </w:tcMar>
          </w:tcPr>
          <w:p w:rsidR="00D73C23" w:rsidRDefault="00D73C23" w:rsidP="00B651FF">
            <w:r>
              <w:t xml:space="preserve">Rubrics are a very useful tool for articulating your </w:t>
            </w:r>
            <w:r w:rsidR="00B651FF">
              <w:t>expectations</w:t>
            </w:r>
            <w:r>
              <w:t xml:space="preserve">.  They can be analytic, detailing each criterion and range, or holistic, focusing only on </w:t>
            </w:r>
            <w:r w:rsidR="00B651FF">
              <w:t>a few</w:t>
            </w:r>
            <w:r>
              <w:t xml:space="preserve"> key criteria.  Either way, </w:t>
            </w:r>
            <w:r w:rsidR="004A60ED">
              <w:t>rubrics</w:t>
            </w:r>
            <w:r>
              <w:t xml:space="preserve"> help both </w:t>
            </w:r>
            <w:r w:rsidR="004A60ED">
              <w:t xml:space="preserve">to </w:t>
            </w:r>
            <w:r>
              <w:t xml:space="preserve">explain </w:t>
            </w:r>
            <w:r w:rsidR="004A60ED">
              <w:t xml:space="preserve">and justify </w:t>
            </w:r>
            <w:r>
              <w:t xml:space="preserve">grades as well as </w:t>
            </w:r>
            <w:r w:rsidR="004A60ED">
              <w:t xml:space="preserve">to </w:t>
            </w:r>
            <w:r>
              <w:t>provide formative insight.</w:t>
            </w:r>
          </w:p>
        </w:tc>
      </w:tr>
      <w:tr w:rsidR="00D73C23" w:rsidTr="0053563B">
        <w:trPr>
          <w:jc w:val="center"/>
        </w:trPr>
        <w:tc>
          <w:tcPr>
            <w:tcW w:w="1620" w:type="dxa"/>
            <w:tcMar>
              <w:top w:w="72" w:type="dxa"/>
              <w:left w:w="115" w:type="dxa"/>
              <w:bottom w:w="72" w:type="dxa"/>
              <w:right w:w="115" w:type="dxa"/>
            </w:tcMar>
          </w:tcPr>
          <w:p w:rsidR="00D73C23" w:rsidRDefault="00D73C23" w:rsidP="006F2D7C"/>
        </w:tc>
        <w:tc>
          <w:tcPr>
            <w:tcW w:w="2122" w:type="dxa"/>
            <w:tcMar>
              <w:top w:w="72" w:type="dxa"/>
              <w:left w:w="115" w:type="dxa"/>
              <w:bottom w:w="72" w:type="dxa"/>
              <w:right w:w="115" w:type="dxa"/>
            </w:tcMar>
          </w:tcPr>
          <w:p w:rsidR="00D73C23" w:rsidRDefault="00D73C23" w:rsidP="006F2D7C">
            <w:r>
              <w:t>Benchmark with multiple graders</w:t>
            </w:r>
          </w:p>
        </w:tc>
        <w:tc>
          <w:tcPr>
            <w:tcW w:w="5400" w:type="dxa"/>
            <w:tcMar>
              <w:top w:w="72" w:type="dxa"/>
              <w:left w:w="115" w:type="dxa"/>
              <w:bottom w:w="72" w:type="dxa"/>
              <w:right w:w="115" w:type="dxa"/>
            </w:tcMar>
          </w:tcPr>
          <w:p w:rsidR="00D73C23" w:rsidRDefault="00D73C23" w:rsidP="00B651FF">
            <w:r>
              <w:t xml:space="preserve">As multiple graders </w:t>
            </w:r>
            <w:r w:rsidR="004A60ED">
              <w:t xml:space="preserve">are likely to </w:t>
            </w:r>
            <w:r>
              <w:t xml:space="preserve">apply very different criteria in different ways when marking assignments, benchmarking </w:t>
            </w:r>
            <w:r w:rsidR="00B651FF">
              <w:t>is very useful for generating</w:t>
            </w:r>
            <w:r>
              <w:t xml:space="preserve"> consistency and fairness</w:t>
            </w:r>
            <w:r w:rsidR="00B651FF">
              <w:t>, especially in large courses</w:t>
            </w:r>
            <w:r>
              <w:t>.</w:t>
            </w:r>
          </w:p>
        </w:tc>
        <w:tc>
          <w:tcPr>
            <w:tcW w:w="5001" w:type="dxa"/>
            <w:tcMar>
              <w:top w:w="72" w:type="dxa"/>
              <w:left w:w="115" w:type="dxa"/>
              <w:bottom w:w="72" w:type="dxa"/>
              <w:right w:w="115" w:type="dxa"/>
            </w:tcMar>
          </w:tcPr>
          <w:p w:rsidR="00D73C23" w:rsidRDefault="00D73C23" w:rsidP="00B617F0">
            <w:r>
              <w:t xml:space="preserve">After assignments have been submitted, </w:t>
            </w:r>
            <w:r w:rsidR="004A60ED">
              <w:t>have all graders meet to</w:t>
            </w:r>
            <w:r>
              <w:t xml:space="preserve"> go over  </w:t>
            </w:r>
            <w:r w:rsidR="00B617F0">
              <w:t xml:space="preserve">two </w:t>
            </w:r>
            <w:r>
              <w:t xml:space="preserve"> or three sample</w:t>
            </w:r>
            <w:r w:rsidR="00B617F0">
              <w:t>s</w:t>
            </w:r>
            <w:r>
              <w:t xml:space="preserve"> to ensure everyone understands what the criteria are, how they are to be applied, and the  appropriate rewards and penalties </w:t>
            </w:r>
          </w:p>
        </w:tc>
      </w:tr>
      <w:tr w:rsidR="00D73C23" w:rsidTr="0053563B">
        <w:trPr>
          <w:jc w:val="center"/>
        </w:trPr>
        <w:tc>
          <w:tcPr>
            <w:tcW w:w="3742" w:type="dxa"/>
            <w:gridSpan w:val="2"/>
            <w:shd w:val="clear" w:color="auto" w:fill="EEECE1" w:themeFill="background2"/>
            <w:tcMar>
              <w:top w:w="72" w:type="dxa"/>
              <w:left w:w="115" w:type="dxa"/>
              <w:bottom w:w="72" w:type="dxa"/>
              <w:right w:w="115" w:type="dxa"/>
            </w:tcMar>
          </w:tcPr>
          <w:p w:rsidR="00D73C23" w:rsidRDefault="00D73C23" w:rsidP="00585A95">
            <w:r>
              <w:t>Giving Feedback</w:t>
            </w:r>
          </w:p>
        </w:tc>
        <w:tc>
          <w:tcPr>
            <w:tcW w:w="5400" w:type="dxa"/>
            <w:shd w:val="clear" w:color="auto" w:fill="EEECE1" w:themeFill="background2"/>
            <w:tcMar>
              <w:top w:w="72" w:type="dxa"/>
              <w:left w:w="115" w:type="dxa"/>
              <w:bottom w:w="72" w:type="dxa"/>
              <w:right w:w="115" w:type="dxa"/>
            </w:tcMar>
          </w:tcPr>
          <w:p w:rsidR="00D73C23" w:rsidRDefault="00D73C23" w:rsidP="009B71EA"/>
        </w:tc>
        <w:tc>
          <w:tcPr>
            <w:tcW w:w="5001" w:type="dxa"/>
            <w:shd w:val="clear" w:color="auto" w:fill="EEECE1" w:themeFill="background2"/>
            <w:tcMar>
              <w:top w:w="72" w:type="dxa"/>
              <w:left w:w="115" w:type="dxa"/>
              <w:bottom w:w="72" w:type="dxa"/>
              <w:right w:w="115" w:type="dxa"/>
            </w:tcMar>
          </w:tcPr>
          <w:p w:rsidR="00D73C23" w:rsidRDefault="00D73C23" w:rsidP="008C62BC"/>
        </w:tc>
      </w:tr>
      <w:tr w:rsidR="00D73C23" w:rsidTr="0053563B">
        <w:trPr>
          <w:jc w:val="center"/>
        </w:trPr>
        <w:tc>
          <w:tcPr>
            <w:tcW w:w="1620" w:type="dxa"/>
            <w:tcMar>
              <w:top w:w="72" w:type="dxa"/>
              <w:left w:w="115" w:type="dxa"/>
              <w:bottom w:w="72" w:type="dxa"/>
              <w:right w:w="115" w:type="dxa"/>
            </w:tcMar>
          </w:tcPr>
          <w:p w:rsidR="00D73C23" w:rsidRDefault="00D73C23" w:rsidP="00152F15">
            <w:pPr>
              <w:ind w:left="720"/>
            </w:pPr>
          </w:p>
        </w:tc>
        <w:tc>
          <w:tcPr>
            <w:tcW w:w="2122" w:type="dxa"/>
            <w:tcMar>
              <w:top w:w="72" w:type="dxa"/>
              <w:left w:w="115" w:type="dxa"/>
              <w:bottom w:w="72" w:type="dxa"/>
              <w:right w:w="115" w:type="dxa"/>
            </w:tcMar>
          </w:tcPr>
          <w:p w:rsidR="00D73C23" w:rsidRDefault="00D73C23" w:rsidP="00B617F0">
            <w:r>
              <w:t xml:space="preserve">Offer formative </w:t>
            </w:r>
            <w:r w:rsidR="00B617F0">
              <w:t>feedback</w:t>
            </w:r>
          </w:p>
        </w:tc>
        <w:tc>
          <w:tcPr>
            <w:tcW w:w="5400" w:type="dxa"/>
            <w:tcMar>
              <w:top w:w="72" w:type="dxa"/>
              <w:left w:w="115" w:type="dxa"/>
              <w:bottom w:w="72" w:type="dxa"/>
              <w:right w:w="115" w:type="dxa"/>
            </w:tcMar>
          </w:tcPr>
          <w:p w:rsidR="00D73C23" w:rsidRDefault="00D73C23" w:rsidP="00B617F0">
            <w:r>
              <w:t xml:space="preserve">Feedback is most effective when it gives students concrete </w:t>
            </w:r>
            <w:r w:rsidR="00B617F0">
              <w:t>guidance</w:t>
            </w:r>
            <w:r>
              <w:t xml:space="preserve"> on what they need to do to improve their mastery of course material  </w:t>
            </w:r>
          </w:p>
        </w:tc>
        <w:tc>
          <w:tcPr>
            <w:tcW w:w="5001" w:type="dxa"/>
            <w:tcMar>
              <w:top w:w="72" w:type="dxa"/>
              <w:left w:w="115" w:type="dxa"/>
              <w:bottom w:w="72" w:type="dxa"/>
              <w:right w:w="115" w:type="dxa"/>
            </w:tcMar>
          </w:tcPr>
          <w:p w:rsidR="00D73C23" w:rsidRDefault="00D73C23" w:rsidP="003551F1">
            <w:r>
              <w:t xml:space="preserve">Low-stakes assignments early on, and throughout your course, </w:t>
            </w:r>
            <w:r w:rsidR="00B617F0">
              <w:t>will give</w:t>
            </w:r>
            <w:r>
              <w:t xml:space="preserve"> students ongoing opportunities to chart their progress and make adjustments as necessary  </w:t>
            </w:r>
          </w:p>
        </w:tc>
      </w:tr>
      <w:tr w:rsidR="00D73C23" w:rsidTr="0053563B">
        <w:trPr>
          <w:jc w:val="center"/>
        </w:trPr>
        <w:tc>
          <w:tcPr>
            <w:tcW w:w="1620" w:type="dxa"/>
            <w:tcMar>
              <w:top w:w="72" w:type="dxa"/>
              <w:left w:w="115" w:type="dxa"/>
              <w:bottom w:w="72" w:type="dxa"/>
              <w:right w:w="115" w:type="dxa"/>
            </w:tcMar>
          </w:tcPr>
          <w:p w:rsidR="00D73C23" w:rsidRDefault="00D73C23" w:rsidP="008C62BC"/>
        </w:tc>
        <w:tc>
          <w:tcPr>
            <w:tcW w:w="2122" w:type="dxa"/>
            <w:tcMar>
              <w:top w:w="72" w:type="dxa"/>
              <w:left w:w="115" w:type="dxa"/>
              <w:bottom w:w="72" w:type="dxa"/>
              <w:right w:w="115" w:type="dxa"/>
            </w:tcMar>
          </w:tcPr>
          <w:p w:rsidR="00D73C23" w:rsidRDefault="00D73C23" w:rsidP="005D0018">
            <w:r>
              <w:t>Focus on higher order concerns</w:t>
            </w:r>
          </w:p>
        </w:tc>
        <w:tc>
          <w:tcPr>
            <w:tcW w:w="5400" w:type="dxa"/>
            <w:tcMar>
              <w:top w:w="72" w:type="dxa"/>
              <w:left w:w="115" w:type="dxa"/>
              <w:bottom w:w="72" w:type="dxa"/>
              <w:right w:w="115" w:type="dxa"/>
            </w:tcMar>
          </w:tcPr>
          <w:p w:rsidR="00D73C23" w:rsidRDefault="00B617F0" w:rsidP="00B617F0">
            <w:r>
              <w:t>Marginal c</w:t>
            </w:r>
            <w:r w:rsidR="00D73C23">
              <w:t xml:space="preserve">omments often </w:t>
            </w:r>
            <w:r>
              <w:t xml:space="preserve">target </w:t>
            </w:r>
            <w:r w:rsidR="00D73C23">
              <w:t>lower-order concerns such as grammar and typographical errors that the grader noticed when reading through the assignment.  However, these types of comments are least likely to help students understand where they went wrong.</w:t>
            </w:r>
          </w:p>
        </w:tc>
        <w:tc>
          <w:tcPr>
            <w:tcW w:w="5001" w:type="dxa"/>
            <w:tcMar>
              <w:top w:w="72" w:type="dxa"/>
              <w:left w:w="115" w:type="dxa"/>
              <w:bottom w:w="72" w:type="dxa"/>
              <w:right w:w="115" w:type="dxa"/>
            </w:tcMar>
          </w:tcPr>
          <w:p w:rsidR="00D73C23" w:rsidRDefault="00B617F0" w:rsidP="00B617F0">
            <w:r>
              <w:t>Respond</w:t>
            </w:r>
            <w:r w:rsidR="00D73C23">
              <w:t xml:space="preserve"> as a genuine reader who is engaging in dialogue with </w:t>
            </w:r>
            <w:r>
              <w:t>an</w:t>
            </w:r>
            <w:r w:rsidR="00D73C23">
              <w:t xml:space="preserve"> author, and keep comments focused on global issues that the student needs to work on.  </w:t>
            </w:r>
          </w:p>
        </w:tc>
      </w:tr>
      <w:tr w:rsidR="00D73C23" w:rsidTr="0053563B">
        <w:trPr>
          <w:jc w:val="center"/>
        </w:trPr>
        <w:tc>
          <w:tcPr>
            <w:tcW w:w="1620" w:type="dxa"/>
            <w:tcMar>
              <w:top w:w="72" w:type="dxa"/>
              <w:left w:w="115" w:type="dxa"/>
              <w:bottom w:w="72" w:type="dxa"/>
              <w:right w:w="115" w:type="dxa"/>
            </w:tcMar>
          </w:tcPr>
          <w:p w:rsidR="00D73C23" w:rsidRDefault="00D73C23" w:rsidP="008C62BC"/>
        </w:tc>
        <w:tc>
          <w:tcPr>
            <w:tcW w:w="2122" w:type="dxa"/>
            <w:tcMar>
              <w:top w:w="72" w:type="dxa"/>
              <w:left w:w="115" w:type="dxa"/>
              <w:bottom w:w="72" w:type="dxa"/>
              <w:right w:w="115" w:type="dxa"/>
            </w:tcMar>
          </w:tcPr>
          <w:p w:rsidR="00D73C23" w:rsidRDefault="00D73C23" w:rsidP="008C62BC">
            <w:r>
              <w:t>Ensure responses are timely</w:t>
            </w:r>
          </w:p>
        </w:tc>
        <w:tc>
          <w:tcPr>
            <w:tcW w:w="5400" w:type="dxa"/>
            <w:tcMar>
              <w:top w:w="72" w:type="dxa"/>
              <w:left w:w="115" w:type="dxa"/>
              <w:bottom w:w="72" w:type="dxa"/>
              <w:right w:w="115" w:type="dxa"/>
            </w:tcMar>
          </w:tcPr>
          <w:p w:rsidR="00D73C23" w:rsidRDefault="00D73C23" w:rsidP="008C62BC">
            <w:r>
              <w:t>If students wait too long betwee</w:t>
            </w:r>
            <w:r w:rsidR="00B617F0">
              <w:t>n submitting an assignment and receiving</w:t>
            </w:r>
            <w:r>
              <w:t xml:space="preserve"> feedback, they are less likely to understand </w:t>
            </w:r>
            <w:r w:rsidR="00B617F0">
              <w:t>comments, where they went wrong</w:t>
            </w:r>
            <w:r>
              <w:t xml:space="preserve">, and how that feedback is </w:t>
            </w:r>
            <w:r w:rsidR="00B617F0">
              <w:t>relevant to helping them</w:t>
            </w:r>
            <w:r>
              <w:t xml:space="preserve"> improve for the future. </w:t>
            </w:r>
          </w:p>
        </w:tc>
        <w:tc>
          <w:tcPr>
            <w:tcW w:w="5001" w:type="dxa"/>
            <w:tcMar>
              <w:top w:w="72" w:type="dxa"/>
              <w:left w:w="115" w:type="dxa"/>
              <w:bottom w:w="72" w:type="dxa"/>
              <w:right w:w="115" w:type="dxa"/>
            </w:tcMar>
          </w:tcPr>
          <w:p w:rsidR="00D73C23" w:rsidRPr="00951FE6" w:rsidRDefault="00D73C23" w:rsidP="00152F15">
            <w:r>
              <w:t xml:space="preserve">Provide self-testing, peer review, or low-stakes assignments that allow students to gather feedback throughout your course. </w:t>
            </w:r>
            <w:r w:rsidR="00B617F0">
              <w:t xml:space="preserve"> Try to ensure that major assignments are returned as quickly as possible.</w:t>
            </w:r>
          </w:p>
        </w:tc>
      </w:tr>
      <w:tr w:rsidR="00D73C23" w:rsidTr="0053563B">
        <w:trPr>
          <w:jc w:val="center"/>
        </w:trPr>
        <w:tc>
          <w:tcPr>
            <w:tcW w:w="3742" w:type="dxa"/>
            <w:gridSpan w:val="2"/>
            <w:shd w:val="clear" w:color="auto" w:fill="EEECE1" w:themeFill="background2"/>
            <w:tcMar>
              <w:top w:w="72" w:type="dxa"/>
              <w:left w:w="115" w:type="dxa"/>
              <w:bottom w:w="72" w:type="dxa"/>
              <w:right w:w="115" w:type="dxa"/>
            </w:tcMar>
          </w:tcPr>
          <w:p w:rsidR="00D73C23" w:rsidRDefault="00D73C23" w:rsidP="008C62BC">
            <w:r>
              <w:t>Preserving Time and Energy</w:t>
            </w:r>
          </w:p>
        </w:tc>
        <w:tc>
          <w:tcPr>
            <w:tcW w:w="5400" w:type="dxa"/>
            <w:shd w:val="clear" w:color="auto" w:fill="EEECE1" w:themeFill="background2"/>
            <w:tcMar>
              <w:top w:w="72" w:type="dxa"/>
              <w:left w:w="115" w:type="dxa"/>
              <w:bottom w:w="72" w:type="dxa"/>
              <w:right w:w="115" w:type="dxa"/>
            </w:tcMar>
          </w:tcPr>
          <w:p w:rsidR="00D73C23" w:rsidRDefault="00D73C23" w:rsidP="00152F15"/>
        </w:tc>
        <w:tc>
          <w:tcPr>
            <w:tcW w:w="5001" w:type="dxa"/>
            <w:shd w:val="clear" w:color="auto" w:fill="EEECE1" w:themeFill="background2"/>
            <w:tcMar>
              <w:top w:w="72" w:type="dxa"/>
              <w:left w:w="115" w:type="dxa"/>
              <w:bottom w:w="72" w:type="dxa"/>
              <w:right w:w="115" w:type="dxa"/>
            </w:tcMar>
          </w:tcPr>
          <w:p w:rsidR="00D73C23" w:rsidRPr="00152F15" w:rsidRDefault="00D73C23" w:rsidP="00152F15">
            <w:pPr>
              <w:rPr>
                <w:b/>
              </w:rPr>
            </w:pPr>
          </w:p>
        </w:tc>
      </w:tr>
      <w:tr w:rsidR="00D73C23" w:rsidTr="0053563B">
        <w:trPr>
          <w:jc w:val="center"/>
        </w:trPr>
        <w:tc>
          <w:tcPr>
            <w:tcW w:w="1620" w:type="dxa"/>
            <w:tcMar>
              <w:top w:w="72" w:type="dxa"/>
              <w:left w:w="115" w:type="dxa"/>
              <w:bottom w:w="72" w:type="dxa"/>
              <w:right w:w="115" w:type="dxa"/>
            </w:tcMar>
          </w:tcPr>
          <w:p w:rsidR="00D73C23" w:rsidRDefault="00D73C23" w:rsidP="008C62BC"/>
        </w:tc>
        <w:tc>
          <w:tcPr>
            <w:tcW w:w="2122" w:type="dxa"/>
            <w:tcMar>
              <w:top w:w="72" w:type="dxa"/>
              <w:left w:w="115" w:type="dxa"/>
              <w:bottom w:w="72" w:type="dxa"/>
              <w:right w:w="115" w:type="dxa"/>
            </w:tcMar>
          </w:tcPr>
          <w:p w:rsidR="00D73C23" w:rsidRDefault="00D73C23" w:rsidP="008C62BC">
            <w:r>
              <w:t>Give group feedback</w:t>
            </w:r>
          </w:p>
        </w:tc>
        <w:tc>
          <w:tcPr>
            <w:tcW w:w="5400" w:type="dxa"/>
            <w:tcMar>
              <w:top w:w="72" w:type="dxa"/>
              <w:left w:w="115" w:type="dxa"/>
              <w:bottom w:w="72" w:type="dxa"/>
              <w:right w:w="115" w:type="dxa"/>
            </w:tcMar>
          </w:tcPr>
          <w:p w:rsidR="00D73C23" w:rsidRDefault="00D73C23" w:rsidP="00152F15">
            <w:r>
              <w:t>Rather than writing the same comment over and over again in the margins of assignments, it can save time to simply announce those common errors to the class as a whole.</w:t>
            </w:r>
          </w:p>
        </w:tc>
        <w:tc>
          <w:tcPr>
            <w:tcW w:w="5001" w:type="dxa"/>
            <w:tcMar>
              <w:top w:w="72" w:type="dxa"/>
              <w:left w:w="115" w:type="dxa"/>
              <w:bottom w:w="72" w:type="dxa"/>
              <w:right w:w="115" w:type="dxa"/>
            </w:tcMar>
          </w:tcPr>
          <w:p w:rsidR="00D73C23" w:rsidRPr="00E35346" w:rsidRDefault="00D73C23" w:rsidP="00152F15">
            <w:r>
              <w:t>Be as specific as possible, so that students are clear as to whether and how this feedback is relevant to them</w:t>
            </w:r>
          </w:p>
        </w:tc>
      </w:tr>
      <w:tr w:rsidR="00D73C23" w:rsidTr="0053563B">
        <w:trPr>
          <w:jc w:val="center"/>
        </w:trPr>
        <w:tc>
          <w:tcPr>
            <w:tcW w:w="1620" w:type="dxa"/>
            <w:tcMar>
              <w:top w:w="72" w:type="dxa"/>
              <w:left w:w="115" w:type="dxa"/>
              <w:bottom w:w="72" w:type="dxa"/>
              <w:right w:w="115" w:type="dxa"/>
            </w:tcMar>
          </w:tcPr>
          <w:p w:rsidR="00D73C23" w:rsidRDefault="00D73C23" w:rsidP="008C62BC"/>
        </w:tc>
        <w:tc>
          <w:tcPr>
            <w:tcW w:w="2122" w:type="dxa"/>
            <w:tcMar>
              <w:top w:w="72" w:type="dxa"/>
              <w:left w:w="115" w:type="dxa"/>
              <w:bottom w:w="72" w:type="dxa"/>
              <w:right w:w="115" w:type="dxa"/>
            </w:tcMar>
          </w:tcPr>
          <w:p w:rsidR="00D73C23" w:rsidRDefault="00D73C23" w:rsidP="008C62BC">
            <w:r>
              <w:t>Take advantage of technology</w:t>
            </w:r>
          </w:p>
        </w:tc>
        <w:tc>
          <w:tcPr>
            <w:tcW w:w="5400" w:type="dxa"/>
            <w:tcMar>
              <w:top w:w="72" w:type="dxa"/>
              <w:left w:w="115" w:type="dxa"/>
              <w:bottom w:w="72" w:type="dxa"/>
              <w:right w:w="115" w:type="dxa"/>
            </w:tcMar>
          </w:tcPr>
          <w:p w:rsidR="00D73C23" w:rsidRDefault="00D73C23" w:rsidP="00152F15">
            <w:r>
              <w:t>Technology allows for many opportunities for students to self-test and receive instantaneous feedback.</w:t>
            </w:r>
          </w:p>
          <w:p w:rsidR="00D73C23" w:rsidRDefault="00D73C23" w:rsidP="00152F15"/>
        </w:tc>
        <w:tc>
          <w:tcPr>
            <w:tcW w:w="5001" w:type="dxa"/>
            <w:tcMar>
              <w:top w:w="72" w:type="dxa"/>
              <w:left w:w="115" w:type="dxa"/>
              <w:bottom w:w="72" w:type="dxa"/>
              <w:right w:w="115" w:type="dxa"/>
            </w:tcMar>
          </w:tcPr>
          <w:p w:rsidR="00D73C23" w:rsidRPr="008114DD" w:rsidRDefault="00D73C23" w:rsidP="00152F15">
            <w:r>
              <w:t>Be sure to include feedback so that students will know why their answer is wrong or right, and not just that it is.</w:t>
            </w:r>
          </w:p>
        </w:tc>
      </w:tr>
      <w:tr w:rsidR="00D73C23" w:rsidTr="0053563B">
        <w:trPr>
          <w:jc w:val="center"/>
        </w:trPr>
        <w:tc>
          <w:tcPr>
            <w:tcW w:w="1620" w:type="dxa"/>
            <w:tcMar>
              <w:top w:w="72" w:type="dxa"/>
              <w:left w:w="115" w:type="dxa"/>
              <w:bottom w:w="72" w:type="dxa"/>
              <w:right w:w="115" w:type="dxa"/>
            </w:tcMar>
          </w:tcPr>
          <w:p w:rsidR="00D73C23" w:rsidRDefault="00D73C23" w:rsidP="008C62BC"/>
        </w:tc>
        <w:tc>
          <w:tcPr>
            <w:tcW w:w="2122" w:type="dxa"/>
            <w:tcMar>
              <w:top w:w="72" w:type="dxa"/>
              <w:left w:w="115" w:type="dxa"/>
              <w:bottom w:w="72" w:type="dxa"/>
              <w:right w:w="115" w:type="dxa"/>
            </w:tcMar>
          </w:tcPr>
          <w:p w:rsidR="00D73C23" w:rsidRDefault="00D73C23" w:rsidP="008C62BC">
            <w:r>
              <w:t>Harness student energy</w:t>
            </w:r>
          </w:p>
        </w:tc>
        <w:tc>
          <w:tcPr>
            <w:tcW w:w="5400" w:type="dxa"/>
            <w:tcMar>
              <w:top w:w="72" w:type="dxa"/>
              <w:left w:w="115" w:type="dxa"/>
              <w:bottom w:w="72" w:type="dxa"/>
              <w:right w:w="115" w:type="dxa"/>
            </w:tcMar>
          </w:tcPr>
          <w:p w:rsidR="00D73C23" w:rsidRDefault="0053563B" w:rsidP="00B617F0">
            <w:r>
              <w:t>T</w:t>
            </w:r>
            <w:r w:rsidR="00D73C23">
              <w:t xml:space="preserve">he more </w:t>
            </w:r>
            <w:r w:rsidR="00B617F0">
              <w:t xml:space="preserve">actively </w:t>
            </w:r>
            <w:r w:rsidR="00D73C23">
              <w:t>students are en</w:t>
            </w:r>
            <w:r w:rsidR="00B617F0">
              <w:t>gaged in</w:t>
            </w:r>
            <w:r w:rsidR="00D73C23">
              <w:t xml:space="preserve"> </w:t>
            </w:r>
            <w:r>
              <w:t xml:space="preserve">their own </w:t>
            </w:r>
            <w:r w:rsidR="00D73C23">
              <w:t xml:space="preserve">learning, the deeper </w:t>
            </w:r>
            <w:r>
              <w:t xml:space="preserve">and more significant </w:t>
            </w:r>
            <w:r w:rsidR="00D73C23">
              <w:t xml:space="preserve">that learning will be. </w:t>
            </w:r>
          </w:p>
        </w:tc>
        <w:tc>
          <w:tcPr>
            <w:tcW w:w="5001" w:type="dxa"/>
            <w:tcMar>
              <w:top w:w="72" w:type="dxa"/>
              <w:left w:w="115" w:type="dxa"/>
              <w:bottom w:w="72" w:type="dxa"/>
              <w:right w:w="115" w:type="dxa"/>
            </w:tcMar>
          </w:tcPr>
          <w:p w:rsidR="00D73C23" w:rsidRDefault="0053563B" w:rsidP="0053563B">
            <w:r>
              <w:t>Coach students on effective feedback and self-evaluation, then enlist them to do</w:t>
            </w:r>
            <w:r w:rsidR="00D73C23">
              <w:t xml:space="preserve"> the work of reflecting on </w:t>
            </w:r>
            <w:r>
              <w:t>their level of understanding or</w:t>
            </w:r>
            <w:r w:rsidR="00D73C23">
              <w:t xml:space="preserve"> providing feedback </w:t>
            </w:r>
            <w:r w:rsidR="00B617F0">
              <w:t xml:space="preserve">to each other </w:t>
            </w:r>
            <w:r w:rsidR="00D73C23">
              <w:t xml:space="preserve">in </w:t>
            </w:r>
            <w:r w:rsidR="00B617F0">
              <w:t xml:space="preserve">draft stages of </w:t>
            </w:r>
            <w:r w:rsidR="00D73C23">
              <w:t>assignments.</w:t>
            </w:r>
          </w:p>
        </w:tc>
      </w:tr>
    </w:tbl>
    <w:p w:rsidR="00696423" w:rsidRDefault="00696423" w:rsidP="00C539BD"/>
    <w:sectPr w:rsidR="00696423" w:rsidSect="0053563B">
      <w:footerReference w:type="default" r:id="rId8"/>
      <w:pgSz w:w="15840" w:h="12240" w:orient="landscape"/>
      <w:pgMar w:top="630" w:right="720" w:bottom="900" w:left="72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900" w:rsidRDefault="00244900" w:rsidP="003F2073">
      <w:pPr>
        <w:spacing w:after="0" w:line="240" w:lineRule="auto"/>
      </w:pPr>
      <w:r>
        <w:separator/>
      </w:r>
    </w:p>
  </w:endnote>
  <w:endnote w:type="continuationSeparator" w:id="0">
    <w:p w:rsidR="00244900" w:rsidRDefault="00244900" w:rsidP="003F2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E5E" w:rsidRPr="00210E5E" w:rsidRDefault="00B651FF" w:rsidP="00210E5E">
    <w:pPr>
      <w:pStyle w:val="Footer"/>
      <w:rPr>
        <w:sz w:val="18"/>
        <w:szCs w:val="18"/>
      </w:rPr>
    </w:pPr>
    <w:r w:rsidRPr="003F2073">
      <w:rPr>
        <w:sz w:val="18"/>
        <w:szCs w:val="18"/>
      </w:rPr>
      <w:t>Alan Wright, Ren</w:t>
    </w:r>
    <w:r>
      <w:rPr>
        <w:sz w:val="18"/>
        <w:szCs w:val="18"/>
      </w:rPr>
      <w:t>é</w:t>
    </w:r>
    <w:r w:rsidRPr="003F2073">
      <w:rPr>
        <w:sz w:val="18"/>
        <w:szCs w:val="18"/>
      </w:rPr>
      <w:t xml:space="preserve">e </w:t>
    </w:r>
    <w:proofErr w:type="spellStart"/>
    <w:r w:rsidRPr="003F2073">
      <w:rPr>
        <w:sz w:val="18"/>
        <w:szCs w:val="18"/>
      </w:rPr>
      <w:t>Wintermute</w:t>
    </w:r>
    <w:proofErr w:type="spellEnd"/>
    <w:r w:rsidRPr="003F2073">
      <w:rPr>
        <w:sz w:val="18"/>
        <w:szCs w:val="18"/>
      </w:rPr>
      <w:t xml:space="preserve">, David Andrews, Judy </w:t>
    </w:r>
    <w:proofErr w:type="spellStart"/>
    <w:r w:rsidRPr="003F2073">
      <w:rPr>
        <w:sz w:val="18"/>
        <w:szCs w:val="18"/>
      </w:rPr>
      <w:t>Bornais</w:t>
    </w:r>
    <w:proofErr w:type="spellEnd"/>
    <w:r w:rsidRPr="003F2073">
      <w:rPr>
        <w:sz w:val="18"/>
        <w:szCs w:val="18"/>
      </w:rPr>
      <w:t xml:space="preserve">, </w:t>
    </w:r>
    <w:r>
      <w:rPr>
        <w:sz w:val="18"/>
        <w:szCs w:val="18"/>
      </w:rPr>
      <w:t xml:space="preserve">Dora </w:t>
    </w:r>
    <w:proofErr w:type="spellStart"/>
    <w:r>
      <w:rPr>
        <w:sz w:val="18"/>
        <w:szCs w:val="18"/>
      </w:rPr>
      <w:t>Cavallo-Medved</w:t>
    </w:r>
    <w:proofErr w:type="spellEnd"/>
    <w:r>
      <w:rPr>
        <w:sz w:val="18"/>
        <w:szCs w:val="18"/>
      </w:rPr>
      <w:t>,</w:t>
    </w:r>
    <w:r w:rsidRPr="003F2073">
      <w:rPr>
        <w:sz w:val="18"/>
        <w:szCs w:val="18"/>
      </w:rPr>
      <w:t xml:space="preserve"> An</w:t>
    </w:r>
    <w:r>
      <w:rPr>
        <w:sz w:val="18"/>
        <w:szCs w:val="18"/>
      </w:rPr>
      <w:t xml:space="preserve">ne Forrest, </w:t>
    </w:r>
    <w:r w:rsidRPr="003F2073">
      <w:rPr>
        <w:sz w:val="18"/>
        <w:szCs w:val="18"/>
      </w:rPr>
      <w:t>November 27, 2013</w:t>
    </w:r>
    <w:r>
      <w:rPr>
        <w:sz w:val="18"/>
        <w:szCs w:val="18"/>
      </w:rPr>
      <w:t>,</w:t>
    </w:r>
    <w:r w:rsidRPr="003F2073">
      <w:rPr>
        <w:sz w:val="18"/>
        <w:szCs w:val="18"/>
      </w:rPr>
      <w:t xml:space="preserve"> </w:t>
    </w:r>
    <w:r w:rsidR="003F2073" w:rsidRPr="003F2073">
      <w:rPr>
        <w:sz w:val="18"/>
        <w:szCs w:val="18"/>
      </w:rPr>
      <w:t>Teachi</w:t>
    </w:r>
    <w:r w:rsidR="0053563B">
      <w:rPr>
        <w:sz w:val="18"/>
        <w:szCs w:val="18"/>
      </w:rPr>
      <w:t xml:space="preserve">ng and Learning Workshop Series. </w:t>
    </w:r>
    <w:r w:rsidR="00210E5E" w:rsidRPr="00210E5E">
      <w:rPr>
        <w:sz w:val="18"/>
        <w:szCs w:val="18"/>
      </w:rPr>
      <w:t>Hand-out compile</w:t>
    </w:r>
    <w:r w:rsidR="00210E5E">
      <w:rPr>
        <w:sz w:val="18"/>
        <w:szCs w:val="18"/>
      </w:rPr>
      <w:t xml:space="preserve">d and prepared by Allyson Skene.  </w:t>
    </w:r>
    <w:r w:rsidR="0053563B">
      <w:rPr>
        <w:sz w:val="18"/>
        <w:szCs w:val="18"/>
      </w:rPr>
      <w:t>For more information and details, please contact the Centre for Teaching and Learning,</w:t>
    </w:r>
    <w:r w:rsidR="003F2073" w:rsidRPr="003F2073">
      <w:rPr>
        <w:sz w:val="18"/>
        <w:szCs w:val="18"/>
      </w:rPr>
      <w:t xml:space="preserve"> </w:t>
    </w:r>
    <w:r>
      <w:rPr>
        <w:sz w:val="18"/>
        <w:szCs w:val="18"/>
      </w:rPr>
      <w:t>University of Windsor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900" w:rsidRDefault="00244900" w:rsidP="003F2073">
      <w:pPr>
        <w:spacing w:after="0" w:line="240" w:lineRule="auto"/>
      </w:pPr>
      <w:r>
        <w:separator/>
      </w:r>
    </w:p>
  </w:footnote>
  <w:footnote w:type="continuationSeparator" w:id="0">
    <w:p w:rsidR="00244900" w:rsidRDefault="00244900" w:rsidP="003F2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52DD9"/>
    <w:multiLevelType w:val="hybridMultilevel"/>
    <w:tmpl w:val="029A08D4"/>
    <w:lvl w:ilvl="0" w:tplc="1DE430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7F202D8"/>
    <w:multiLevelType w:val="hybridMultilevel"/>
    <w:tmpl w:val="0A84AF90"/>
    <w:lvl w:ilvl="0" w:tplc="17DE20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2BC"/>
    <w:rsid w:val="00095055"/>
    <w:rsid w:val="00152F15"/>
    <w:rsid w:val="00193CB9"/>
    <w:rsid w:val="00210E5E"/>
    <w:rsid w:val="00223F2A"/>
    <w:rsid w:val="00231583"/>
    <w:rsid w:val="00244900"/>
    <w:rsid w:val="00327FF5"/>
    <w:rsid w:val="003551F1"/>
    <w:rsid w:val="003F2073"/>
    <w:rsid w:val="003F23C2"/>
    <w:rsid w:val="00400FE8"/>
    <w:rsid w:val="004A60ED"/>
    <w:rsid w:val="004C783F"/>
    <w:rsid w:val="004E0160"/>
    <w:rsid w:val="0053563B"/>
    <w:rsid w:val="00583CD4"/>
    <w:rsid w:val="00585A95"/>
    <w:rsid w:val="005D0018"/>
    <w:rsid w:val="00696423"/>
    <w:rsid w:val="006A3D70"/>
    <w:rsid w:val="006D67BE"/>
    <w:rsid w:val="006F2D7C"/>
    <w:rsid w:val="00724F4B"/>
    <w:rsid w:val="007E0A25"/>
    <w:rsid w:val="008114DD"/>
    <w:rsid w:val="008C62BC"/>
    <w:rsid w:val="00951FE6"/>
    <w:rsid w:val="009B71EA"/>
    <w:rsid w:val="00A122E7"/>
    <w:rsid w:val="00B617F0"/>
    <w:rsid w:val="00B651FF"/>
    <w:rsid w:val="00B72FCE"/>
    <w:rsid w:val="00B83EC7"/>
    <w:rsid w:val="00BA6CCC"/>
    <w:rsid w:val="00C539BD"/>
    <w:rsid w:val="00CA0D73"/>
    <w:rsid w:val="00CE79D1"/>
    <w:rsid w:val="00D51292"/>
    <w:rsid w:val="00D73C23"/>
    <w:rsid w:val="00DD7AE2"/>
    <w:rsid w:val="00E35346"/>
    <w:rsid w:val="00E92F66"/>
    <w:rsid w:val="00EE0B5E"/>
    <w:rsid w:val="00F157B1"/>
    <w:rsid w:val="00F355F9"/>
    <w:rsid w:val="00FE55BF"/>
    <w:rsid w:val="00FF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D10EBF-867A-44F3-AD72-47B3EB0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C62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3C2"/>
    <w:pPr>
      <w:ind w:left="720"/>
      <w:contextualSpacing/>
    </w:pPr>
  </w:style>
  <w:style w:type="table" w:styleId="TableGrid">
    <w:name w:val="Table Grid"/>
    <w:basedOn w:val="TableNormal"/>
    <w:uiPriority w:val="59"/>
    <w:rsid w:val="009B7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2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073"/>
  </w:style>
  <w:style w:type="paragraph" w:styleId="Footer">
    <w:name w:val="footer"/>
    <w:basedOn w:val="Normal"/>
    <w:link w:val="FooterChar"/>
    <w:uiPriority w:val="99"/>
    <w:unhideWhenUsed/>
    <w:rsid w:val="003F2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073"/>
  </w:style>
  <w:style w:type="paragraph" w:styleId="BalloonText">
    <w:name w:val="Balloon Text"/>
    <w:basedOn w:val="Normal"/>
    <w:link w:val="BalloonTextChar"/>
    <w:uiPriority w:val="99"/>
    <w:semiHidden/>
    <w:unhideWhenUsed/>
    <w:rsid w:val="003F20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0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9C3AB-023C-43C7-AD4E-1D9F359AD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Windsor</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UoW</dc:creator>
  <cp:lastModifiedBy>AS</cp:lastModifiedBy>
  <cp:revision>2</cp:revision>
  <dcterms:created xsi:type="dcterms:W3CDTF">2017-08-03T20:02:00Z</dcterms:created>
  <dcterms:modified xsi:type="dcterms:W3CDTF">2017-08-03T20:02:00Z</dcterms:modified>
</cp:coreProperties>
</file>