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4189" w:rsidP="6CA8E235" w:rsidRDefault="7EAE00B5" w14:paraId="2C078E63" w14:textId="0B811DC9">
      <w:pPr>
        <w:jc w:val="center"/>
        <w:rPr>
          <w:u w:val="single"/>
        </w:rPr>
      </w:pPr>
      <w:r w:rsidRPr="6CA8E235">
        <w:rPr>
          <w:u w:val="single"/>
        </w:rPr>
        <w:t>Definitions Discussed</w:t>
      </w:r>
    </w:p>
    <w:p w:rsidR="472901DA" w:rsidP="6CA8E235" w:rsidRDefault="472901DA" w14:paraId="0EE0C241" w14:textId="61FAAB6F">
      <w:pPr>
        <w:jc w:val="both"/>
        <w:rPr>
          <w:rFonts w:ascii="Aptos" w:hAnsi="Aptos" w:eastAsia="Aptos" w:cs="Aptos"/>
        </w:rPr>
      </w:pPr>
      <w:r>
        <w:t xml:space="preserve">All definitions taken from </w:t>
      </w:r>
      <w:r w:rsidRPr="0AD18101">
        <w:rPr>
          <w:i/>
          <w:iCs/>
        </w:rPr>
        <w:t>Black’s Law Dictionary</w:t>
      </w:r>
      <w:r w:rsidRPr="0AD18101">
        <w:t xml:space="preserve"> 12</w:t>
      </w:r>
      <w:r w:rsidRPr="0AD18101">
        <w:rPr>
          <w:vertAlign w:val="superscript"/>
        </w:rPr>
        <w:t>th</w:t>
      </w:r>
      <w:r w:rsidRPr="0AD18101">
        <w:t xml:space="preserve"> ed (Thomson Reuters, 2024), online: </w:t>
      </w:r>
      <w:hyperlink r:id="rId7">
        <w:r w:rsidRPr="0AD18101">
          <w:rPr>
            <w:rStyle w:val="Hyperlink"/>
            <w:rFonts w:ascii="Aptos" w:hAnsi="Aptos" w:eastAsia="Aptos" w:cs="Aptos"/>
          </w:rPr>
          <w:t>https://1.next.westlaw.com/Browse/Home/SecondarySources/BlacksLawDictionary?transitionType=Default&amp;contextData=(sc.Default)</w:t>
        </w:r>
        <w:r w:rsidRPr="0AD18101" w:rsidR="54885212">
          <w:rPr>
            <w:rStyle w:val="Hyperlink"/>
            <w:rFonts w:ascii="Aptos" w:hAnsi="Aptos" w:eastAsia="Aptos" w:cs="Aptos"/>
          </w:rPr>
          <w:t>,</w:t>
        </w:r>
      </w:hyperlink>
      <w:r w:rsidR="54885212">
        <w:t xml:space="preserve"> unless otherwise indicated.</w:t>
      </w:r>
    </w:p>
    <w:p w:rsidR="59E70A50" w:rsidP="0AD18101" w:rsidRDefault="59E70A50" w14:paraId="6B8EEEE1" w14:textId="3E94674F">
      <w:pPr>
        <w:jc w:val="both"/>
        <w:rPr>
          <w:rFonts w:ascii="Aptos" w:hAnsi="Aptos" w:eastAsia="Aptos" w:cs="Aptos"/>
        </w:rPr>
      </w:pPr>
      <w:r w:rsidRPr="0AD18101">
        <w:rPr>
          <w:rFonts w:ascii="Aptos" w:hAnsi="Aptos" w:eastAsia="Aptos" w:cs="Aptos"/>
          <w:b/>
          <w:bCs/>
        </w:rPr>
        <w:t xml:space="preserve">Case Law / Cases – </w:t>
      </w:r>
      <w:r w:rsidRPr="0AD18101">
        <w:rPr>
          <w:rFonts w:ascii="Aptos" w:hAnsi="Aptos" w:eastAsia="Aptos" w:cs="Aptos"/>
        </w:rPr>
        <w:t>One source of law that we use in law school</w:t>
      </w:r>
      <w:r w:rsidRPr="0AD18101" w:rsidR="14B9F9CF">
        <w:rPr>
          <w:rFonts w:ascii="Aptos" w:hAnsi="Aptos" w:eastAsia="Aptos" w:cs="Aptos"/>
        </w:rPr>
        <w:t>; it is also used</w:t>
      </w:r>
      <w:r w:rsidRPr="0AD18101">
        <w:rPr>
          <w:rFonts w:ascii="Aptos" w:hAnsi="Aptos" w:eastAsia="Aptos" w:cs="Aptos"/>
        </w:rPr>
        <w:t xml:space="preserve"> by lawyers and by judges. Case law is a collection of </w:t>
      </w:r>
      <w:r w:rsidRPr="0AD18101" w:rsidR="2F0E1751">
        <w:rPr>
          <w:rFonts w:ascii="Aptos" w:hAnsi="Aptos" w:eastAsia="Aptos" w:cs="Aptos"/>
        </w:rPr>
        <w:t xml:space="preserve">past </w:t>
      </w:r>
      <w:r w:rsidRPr="0AD18101">
        <w:rPr>
          <w:rFonts w:ascii="Aptos" w:hAnsi="Aptos" w:eastAsia="Aptos" w:cs="Aptos"/>
        </w:rPr>
        <w:t xml:space="preserve">decisions made by judges. </w:t>
      </w:r>
      <w:r w:rsidRPr="0AD18101" w:rsidR="484868AA">
        <w:rPr>
          <w:rFonts w:ascii="Aptos" w:hAnsi="Aptos" w:eastAsia="Aptos" w:cs="Aptos"/>
        </w:rPr>
        <w:t xml:space="preserve">Case law collections are organized by jurisdiction first, and then by level of court. See </w:t>
      </w:r>
      <w:hyperlink r:id="rId8">
        <w:r w:rsidRPr="0AD18101" w:rsidR="484868AA">
          <w:rPr>
            <w:rStyle w:val="Hyperlink"/>
            <w:rFonts w:ascii="Aptos" w:hAnsi="Aptos" w:eastAsia="Aptos" w:cs="Aptos"/>
          </w:rPr>
          <w:t>Ontario | CanLII</w:t>
        </w:r>
      </w:hyperlink>
      <w:r w:rsidRPr="0AD18101" w:rsidR="484868AA">
        <w:rPr>
          <w:rFonts w:ascii="Aptos" w:hAnsi="Aptos" w:eastAsia="Aptos" w:cs="Aptos"/>
        </w:rPr>
        <w:t xml:space="preserve"> for examples from Ontario.</w:t>
      </w:r>
    </w:p>
    <w:p w:rsidR="2856BF24" w:rsidP="6CA8E235" w:rsidRDefault="2856BF24" w14:paraId="0D5ACDA1" w14:textId="264CD121">
      <w:pPr>
        <w:jc w:val="both"/>
        <w:rPr>
          <w:color w:val="212121"/>
        </w:rPr>
      </w:pPr>
      <w:r w:rsidRPr="27464DB8" w:rsidR="2856BF24">
        <w:rPr>
          <w:rFonts w:ascii="Aptos" w:hAnsi="Aptos" w:eastAsia="Aptos" w:cs="Aptos"/>
          <w:b w:val="1"/>
          <w:bCs w:val="1"/>
        </w:rPr>
        <w:t xml:space="preserve">Civil Law </w:t>
      </w:r>
      <w:r w:rsidRPr="27464DB8" w:rsidR="2856BF24">
        <w:rPr>
          <w:rFonts w:ascii="Aptos" w:hAnsi="Aptos" w:eastAsia="Aptos" w:cs="Aptos"/>
        </w:rPr>
        <w:t>–</w:t>
      </w:r>
      <w:r w:rsidRPr="27464DB8" w:rsidR="2856BF24">
        <w:rPr>
          <w:rFonts w:ascii="Aptos" w:hAnsi="Aptos" w:eastAsia="Aptos" w:cs="Aptos"/>
          <w:b w:val="1"/>
          <w:bCs w:val="1"/>
        </w:rPr>
        <w:t xml:space="preserve"> </w:t>
      </w:r>
      <w:r w:rsidRPr="27464DB8" w:rsidR="2856BF24">
        <w:rPr>
          <w:rFonts w:ascii="Aptos" w:hAnsi="Aptos" w:eastAsia="Aptos" w:cs="Aptos"/>
        </w:rPr>
        <w:t xml:space="preserve">1. </w:t>
      </w:r>
      <w:r w:rsidRPr="27464DB8" w:rsidR="2856BF24">
        <w:rPr>
          <w:color w:val="212121"/>
        </w:rPr>
        <w:t xml:space="preserve">One of the two prominent legal systems in the Western world, originally administered in the Roman Empire and still influential in continental Europe, </w:t>
      </w:r>
      <w:r w:rsidRPr="27464DB8" w:rsidR="464C53CF">
        <w:rPr>
          <w:color w:val="212121"/>
        </w:rPr>
        <w:t>Quebec,</w:t>
      </w:r>
      <w:r w:rsidRPr="27464DB8" w:rsidR="2856BF24">
        <w:rPr>
          <w:color w:val="212121"/>
        </w:rPr>
        <w:t xml:space="preserve"> etc. 2. The body of law </w:t>
      </w:r>
      <w:r w:rsidRPr="27464DB8" w:rsidR="2856BF24">
        <w:rPr>
          <w:color w:val="212121"/>
        </w:rPr>
        <w:t>imposed</w:t>
      </w:r>
      <w:r w:rsidRPr="27464DB8" w:rsidR="2856BF24">
        <w:rPr>
          <w:color w:val="212121"/>
        </w:rPr>
        <w:t xml:space="preserve"> by the state, as opposed to moral law.</w:t>
      </w:r>
      <w:r w:rsidRPr="27464DB8" w:rsidR="2856BF24">
        <w:rPr>
          <w:b w:val="1"/>
          <w:bCs w:val="1"/>
          <w:color w:val="212121"/>
        </w:rPr>
        <w:t xml:space="preserve"> 3. </w:t>
      </w:r>
      <w:r w:rsidRPr="27464DB8" w:rsidR="2856BF24">
        <w:rPr>
          <w:color w:val="212121"/>
        </w:rPr>
        <w:t>The law of civil or private rights, as opposed to criminal law or administrative law</w:t>
      </w:r>
      <w:r w:rsidRPr="27464DB8" w:rsidR="2856BF24">
        <w:rPr>
          <w:color w:val="212121"/>
        </w:rPr>
        <w:t xml:space="preserve">.  </w:t>
      </w:r>
      <w:r w:rsidRPr="27464DB8" w:rsidR="2856BF24">
        <w:rPr>
          <w:color w:val="212121"/>
        </w:rPr>
        <w:t>(Less emphasis on judicial decisions as binding authority).</w:t>
      </w:r>
    </w:p>
    <w:p w:rsidR="472901DA" w:rsidP="6CA8E235" w:rsidRDefault="472901DA" w14:paraId="02E169A3" w14:textId="476A0CA2">
      <w:pPr>
        <w:jc w:val="both"/>
        <w:rPr>
          <w:rFonts w:ascii="Aptos" w:hAnsi="Aptos" w:eastAsia="Aptos" w:cs="Aptos"/>
        </w:rPr>
      </w:pPr>
      <w:r w:rsidRPr="6CA8E235">
        <w:rPr>
          <w:rFonts w:ascii="Aptos" w:hAnsi="Aptos" w:eastAsia="Aptos" w:cs="Aptos"/>
          <w:b/>
          <w:bCs/>
        </w:rPr>
        <w:t>Common Law</w:t>
      </w:r>
      <w:r w:rsidRPr="6CA8E235">
        <w:rPr>
          <w:rFonts w:ascii="Aptos" w:hAnsi="Aptos" w:eastAsia="Aptos" w:cs="Aptos"/>
        </w:rPr>
        <w:t xml:space="preserve"> - The body of law derived from judicial decisions, rather than from statutes or constitutions.</w:t>
      </w:r>
    </w:p>
    <w:p w:rsidR="7F1F18C4" w:rsidP="6CA8E235" w:rsidRDefault="7F1F18C4" w14:paraId="5CC2306B" w14:textId="57069133">
      <w:pPr>
        <w:jc w:val="both"/>
        <w:rPr>
          <w:color w:val="212121"/>
        </w:rPr>
      </w:pPr>
      <w:r w:rsidRPr="6CA8E235">
        <w:rPr>
          <w:b/>
          <w:bCs/>
          <w:color w:val="212121"/>
        </w:rPr>
        <w:t>Indigenous Law</w:t>
      </w:r>
      <w:r w:rsidRPr="6CA8E235">
        <w:rPr>
          <w:color w:val="212121"/>
        </w:rPr>
        <w:t xml:space="preserve"> - </w:t>
      </w:r>
      <w:r w:rsidRPr="6CA8E235" w:rsidR="67A99C9F">
        <w:rPr>
          <w:color w:val="212121"/>
        </w:rPr>
        <w:t>A conversation about Indigenous law must start with a broader understanding of law, one that finds law in the way people in a society legitimately and authoritatively solve problems, make decisions, create safety, and maintain or repair relationships. Indigenous law refers to the reasoned principles and processes that Indigenous societies used and still use to govern themselves. In Canada, Indigenous law predates the common and civil law systems and continues to evolve, adapt, and apply to circumstances today.</w:t>
      </w:r>
    </w:p>
    <w:p w:rsidR="67A99C9F" w:rsidP="6CA8E235" w:rsidRDefault="67A99C9F" w14:paraId="4F1510EE" w14:textId="464BC162">
      <w:pPr>
        <w:jc w:val="both"/>
        <w:rPr>
          <w:color w:val="212121"/>
        </w:rPr>
      </w:pPr>
      <w:r w:rsidRPr="27464DB8" w:rsidR="67A99C9F">
        <w:rPr>
          <w:color w:val="212121"/>
        </w:rPr>
        <w:t xml:space="preserve">Taken from: Jessica Asch and Tara Williamson, "An Introduction to Legal </w:t>
      </w:r>
      <w:r w:rsidRPr="27464DB8" w:rsidR="48FE7FDA">
        <w:rPr>
          <w:color w:val="212121"/>
        </w:rPr>
        <w:t>Research of</w:t>
      </w:r>
      <w:r w:rsidRPr="27464DB8" w:rsidR="67A99C9F">
        <w:rPr>
          <w:color w:val="212121"/>
        </w:rPr>
        <w:t xml:space="preserve"> Indigenous Legal Orders" in McCarney et al, eds, </w:t>
      </w:r>
      <w:r w:rsidRPr="27464DB8" w:rsidR="67A99C9F">
        <w:rPr>
          <w:i w:val="1"/>
          <w:iCs w:val="1"/>
          <w:color w:val="212121"/>
        </w:rPr>
        <w:t>The Comprehensive Guide to Legal Research, Writing and Analysis</w:t>
      </w:r>
      <w:r w:rsidRPr="27464DB8" w:rsidR="67A99C9F">
        <w:rPr>
          <w:color w:val="212121"/>
        </w:rPr>
        <w:t>, 4th ed (Emond, 2024) at 3:5.</w:t>
      </w:r>
    </w:p>
    <w:p w:rsidR="003075DF" w:rsidP="6CA8E235" w:rsidRDefault="5C966308" w14:paraId="57DB129E" w14:textId="0B92E199">
      <w:pPr>
        <w:jc w:val="both"/>
        <w:rPr>
          <w:rFonts w:ascii="Aptos" w:hAnsi="Aptos" w:eastAsia="Aptos" w:cs="Aptos"/>
        </w:rPr>
      </w:pPr>
      <w:r w:rsidRPr="0AD18101">
        <w:rPr>
          <w:rFonts w:ascii="Aptos" w:hAnsi="Aptos" w:eastAsia="Aptos" w:cs="Aptos"/>
          <w:b/>
          <w:bCs/>
        </w:rPr>
        <w:t xml:space="preserve">International Law </w:t>
      </w:r>
      <w:r w:rsidR="003075DF">
        <w:rPr>
          <w:rFonts w:ascii="Aptos" w:hAnsi="Aptos" w:eastAsia="Aptos" w:cs="Aptos"/>
        </w:rPr>
        <w:t>–</w:t>
      </w:r>
      <w:r w:rsidRPr="0AD18101">
        <w:rPr>
          <w:rFonts w:ascii="Aptos" w:hAnsi="Aptos" w:eastAsia="Aptos" w:cs="Aptos"/>
        </w:rPr>
        <w:t xml:space="preserve"> </w:t>
      </w:r>
    </w:p>
    <w:p w:rsidR="5C966308" w:rsidP="003075DF" w:rsidRDefault="003075DF" w14:paraId="416B27F7" w14:textId="316FF66B">
      <w:pPr>
        <w:ind w:firstLine="720"/>
        <w:jc w:val="both"/>
        <w:rPr>
          <w:rFonts w:ascii="Aptos" w:hAnsi="Aptos" w:eastAsia="Aptos" w:cs="Aptos"/>
        </w:rPr>
      </w:pPr>
      <w:r w:rsidRPr="27464DB8" w:rsidR="003075DF">
        <w:rPr>
          <w:rFonts w:ascii="Aptos" w:hAnsi="Aptos" w:eastAsia="Aptos" w:cs="Aptos"/>
          <w:b w:val="1"/>
          <w:bCs w:val="1"/>
        </w:rPr>
        <w:t xml:space="preserve">Public International Law: </w:t>
      </w:r>
      <w:r w:rsidRPr="27464DB8" w:rsidR="5C966308">
        <w:rPr>
          <w:rFonts w:ascii="Aptos" w:hAnsi="Aptos" w:eastAsia="Aptos" w:cs="Aptos"/>
        </w:rPr>
        <w:t xml:space="preserve">The legal system governing the relationships between </w:t>
      </w:r>
      <w:r>
        <w:tab/>
      </w:r>
      <w:r w:rsidRPr="27464DB8" w:rsidR="5C966308">
        <w:rPr>
          <w:rFonts w:ascii="Aptos" w:hAnsi="Aptos" w:eastAsia="Aptos" w:cs="Aptos"/>
        </w:rPr>
        <w:t xml:space="preserve">countries; more modernly, the law of international relations, embracing not only </w:t>
      </w:r>
      <w:r>
        <w:tab/>
      </w:r>
      <w:r w:rsidRPr="27464DB8" w:rsidR="5C966308">
        <w:rPr>
          <w:rFonts w:ascii="Aptos" w:hAnsi="Aptos" w:eastAsia="Aptos" w:cs="Aptos"/>
        </w:rPr>
        <w:t xml:space="preserve">countries but also such participants as international organizations and individuals </w:t>
      </w:r>
      <w:r>
        <w:tab/>
      </w:r>
      <w:r w:rsidRPr="27464DB8" w:rsidR="5C966308">
        <w:rPr>
          <w:rFonts w:ascii="Aptos" w:hAnsi="Aptos" w:eastAsia="Aptos" w:cs="Aptos"/>
        </w:rPr>
        <w:t>(such as those who invoke their human rights or commit war crimes).</w:t>
      </w:r>
    </w:p>
    <w:p w:rsidRPr="003075DF" w:rsidR="003075DF" w:rsidP="003075DF" w:rsidRDefault="003075DF" w14:paraId="543A41E3" w14:textId="7957AC16">
      <w:pPr>
        <w:ind w:firstLine="720"/>
        <w:jc w:val="both"/>
        <w:rPr>
          <w:rFonts w:ascii="Aptos" w:hAnsi="Aptos" w:eastAsia="Aptos" w:cs="Aptos"/>
          <w:lang w:val="en-CA"/>
        </w:rPr>
      </w:pPr>
      <w:r w:rsidRPr="27464DB8" w:rsidR="003075DF">
        <w:rPr>
          <w:rFonts w:ascii="Aptos" w:hAnsi="Aptos" w:eastAsia="Aptos" w:cs="Aptos"/>
          <w:b w:val="1"/>
          <w:bCs w:val="1"/>
        </w:rPr>
        <w:t xml:space="preserve">Private International Law / Conflicts of Laws: </w:t>
      </w:r>
      <w:r w:rsidRPr="27464DB8" w:rsidR="003075DF">
        <w:rPr>
          <w:rFonts w:ascii="Aptos" w:hAnsi="Aptos" w:eastAsia="Aptos" w:cs="Aptos"/>
          <w:lang w:val="en-CA"/>
        </w:rPr>
        <w:t xml:space="preserve">opposition or conflict between the </w:t>
      </w:r>
      <w:r>
        <w:tab/>
      </w:r>
      <w:r w:rsidRPr="27464DB8" w:rsidR="003075DF">
        <w:rPr>
          <w:rFonts w:ascii="Aptos" w:hAnsi="Aptos" w:eastAsia="Aptos" w:cs="Aptos"/>
          <w:lang w:val="en-CA"/>
        </w:rPr>
        <w:t xml:space="preserve">applicable laws of different states or </w:t>
      </w:r>
      <w:r w:rsidRPr="27464DB8" w:rsidR="003075DF">
        <w:rPr>
          <w:rFonts w:ascii="Aptos" w:hAnsi="Aptos" w:eastAsia="Aptos" w:cs="Aptos"/>
          <w:lang w:val="en-CA"/>
        </w:rPr>
        <w:t>jurisdictions</w:t>
      </w:r>
      <w:r w:rsidRPr="27464DB8" w:rsidR="003075DF">
        <w:rPr>
          <w:rFonts w:ascii="Aptos" w:hAnsi="Aptos" w:eastAsia="Aptos" w:cs="Aptos"/>
          <w:lang w:val="en-CA"/>
        </w:rPr>
        <w:t xml:space="preserve"> </w:t>
      </w:r>
      <w:r w:rsidRPr="27464DB8" w:rsidR="003075DF">
        <w:rPr>
          <w:rFonts w:ascii="Aptos" w:hAnsi="Aptos" w:eastAsia="Aptos" w:cs="Aptos"/>
          <w:lang w:val="en-CA"/>
        </w:rPr>
        <w:t>regarding</w:t>
      </w:r>
      <w:r w:rsidRPr="27464DB8" w:rsidR="003075DF">
        <w:rPr>
          <w:rFonts w:ascii="Aptos" w:hAnsi="Aptos" w:eastAsia="Aptos" w:cs="Aptos"/>
          <w:lang w:val="en-CA"/>
        </w:rPr>
        <w:t xml:space="preserve"> the rights of the parties </w:t>
      </w:r>
      <w:r>
        <w:tab/>
      </w:r>
      <w:r w:rsidRPr="27464DB8" w:rsidR="003075DF">
        <w:rPr>
          <w:rFonts w:ascii="Aptos" w:hAnsi="Aptos" w:eastAsia="Aptos" w:cs="Aptos"/>
          <w:lang w:val="en-CA"/>
        </w:rPr>
        <w:t>in a case</w:t>
      </w:r>
      <w:r w:rsidRPr="27464DB8" w:rsidR="6A6A620B">
        <w:rPr>
          <w:rFonts w:ascii="Aptos" w:hAnsi="Aptos" w:eastAsia="Aptos" w:cs="Aptos"/>
          <w:lang w:val="en-CA"/>
        </w:rPr>
        <w:t>;</w:t>
      </w:r>
    </w:p>
    <w:p w:rsidRPr="003075DF" w:rsidR="003075DF" w:rsidP="27464DB8" w:rsidRDefault="003075DF" w14:paraId="3729F22C" w14:textId="3FE986D0">
      <w:pPr>
        <w:ind w:firstLine="720"/>
        <w:jc w:val="both"/>
        <w:rPr>
          <w:rFonts w:ascii="Aptos" w:hAnsi="Aptos" w:eastAsia="Aptos" w:cs="Aptos"/>
          <w:lang w:val="en-CA"/>
        </w:rPr>
      </w:pPr>
      <w:r w:rsidRPr="27464DB8" w:rsidR="0189F2E3">
        <w:rPr>
          <w:rFonts w:ascii="Aptos" w:hAnsi="Aptos" w:eastAsia="Aptos" w:cs="Aptos"/>
          <w:i w:val="1"/>
          <w:iCs w:val="1"/>
          <w:lang w:val="en-CA"/>
        </w:rPr>
        <w:t>also:</w:t>
      </w:r>
      <w:r w:rsidRPr="27464DB8" w:rsidR="003075DF">
        <w:rPr>
          <w:rFonts w:ascii="Aptos" w:hAnsi="Aptos" w:eastAsia="Aptos" w:cs="Aptos"/>
          <w:lang w:val="en-CA"/>
        </w:rPr>
        <w:t xml:space="preserve"> a branch of law that deals with the resolution of such conflict and the </w:t>
      </w:r>
      <w:r>
        <w:tab/>
      </w:r>
      <w:r>
        <w:tab/>
      </w:r>
      <w:r w:rsidRPr="27464DB8" w:rsidR="003075DF">
        <w:rPr>
          <w:rFonts w:ascii="Aptos" w:hAnsi="Aptos" w:eastAsia="Aptos" w:cs="Aptos"/>
          <w:lang w:val="en-CA"/>
        </w:rPr>
        <w:t xml:space="preserve">determination of the law applicable to cases in which the laws of different </w:t>
      </w:r>
      <w:r>
        <w:tab/>
      </w:r>
    </w:p>
    <w:p w:rsidRPr="003075DF" w:rsidR="003075DF" w:rsidP="003075DF" w:rsidRDefault="003075DF" w14:paraId="59FE9228" w14:textId="4E2B1F00">
      <w:pPr>
        <w:ind w:firstLine="720"/>
        <w:jc w:val="both"/>
        <w:rPr>
          <w:rFonts w:ascii="Aptos" w:hAnsi="Aptos" w:eastAsia="Aptos" w:cs="Aptos"/>
          <w:b w:val="1"/>
          <w:bCs w:val="1"/>
          <w:lang w:val="en-CA"/>
        </w:rPr>
      </w:pPr>
      <w:r w:rsidRPr="27464DB8" w:rsidR="6C7C2CFE">
        <w:rPr>
          <w:rFonts w:ascii="Aptos" w:hAnsi="Aptos" w:eastAsia="Aptos" w:cs="Aptos"/>
          <w:lang w:val="en-CA"/>
        </w:rPr>
        <w:t>ju</w:t>
      </w:r>
      <w:r w:rsidRPr="27464DB8" w:rsidR="003075DF">
        <w:rPr>
          <w:rFonts w:ascii="Aptos" w:hAnsi="Aptos" w:eastAsia="Aptos" w:cs="Aptos"/>
          <w:lang w:val="en-CA"/>
        </w:rPr>
        <w:t>risdictions are asserted</w:t>
      </w:r>
      <w:r w:rsidRPr="27464DB8" w:rsidR="003075DF">
        <w:rPr>
          <w:rFonts w:ascii="Aptos" w:hAnsi="Aptos" w:eastAsia="Aptos" w:cs="Aptos"/>
          <w:lang w:val="en-CA"/>
        </w:rPr>
        <w:t>.</w:t>
      </w:r>
    </w:p>
    <w:p w:rsidR="0B060709" w:rsidP="0AD18101" w:rsidRDefault="0B060709" w14:paraId="1DA0AA93" w14:textId="1C209A4E">
      <w:pPr>
        <w:jc w:val="both"/>
        <w:rPr>
          <w:rFonts w:ascii="Aptos" w:hAnsi="Aptos" w:eastAsia="Aptos" w:cs="Aptos"/>
        </w:rPr>
      </w:pPr>
      <w:r w:rsidRPr="0AD18101">
        <w:rPr>
          <w:rFonts w:ascii="Aptos" w:hAnsi="Aptos" w:eastAsia="Aptos" w:cs="Aptos"/>
          <w:b/>
          <w:bCs/>
        </w:rPr>
        <w:t>Jurisdiction</w:t>
      </w:r>
      <w:r w:rsidRPr="0AD18101">
        <w:rPr>
          <w:rFonts w:ascii="Aptos" w:hAnsi="Aptos" w:eastAsia="Aptos" w:cs="Aptos"/>
        </w:rPr>
        <w:t xml:space="preserve"> 1. A government's general power to exercise authority over all </w:t>
      </w:r>
      <w:proofErr w:type="gramStart"/>
      <w:r w:rsidRPr="0AD18101">
        <w:rPr>
          <w:rFonts w:ascii="Aptos" w:hAnsi="Aptos" w:eastAsia="Aptos" w:cs="Aptos"/>
        </w:rPr>
        <w:t>persons</w:t>
      </w:r>
      <w:proofErr w:type="gramEnd"/>
      <w:r w:rsidRPr="0AD18101">
        <w:rPr>
          <w:rFonts w:ascii="Aptos" w:hAnsi="Aptos" w:eastAsia="Aptos" w:cs="Aptos"/>
        </w:rPr>
        <w:t xml:space="preserve"> and things within its territory; esp., a state's power to create interests that will be recognized under </w:t>
      </w:r>
      <w:proofErr w:type="gramStart"/>
      <w:r w:rsidRPr="0AD18101">
        <w:rPr>
          <w:rFonts w:ascii="Aptos" w:hAnsi="Aptos" w:eastAsia="Aptos" w:cs="Aptos"/>
        </w:rPr>
        <w:t>common-law</w:t>
      </w:r>
      <w:proofErr w:type="gramEnd"/>
      <w:r w:rsidRPr="0AD18101">
        <w:rPr>
          <w:rFonts w:ascii="Aptos" w:hAnsi="Aptos" w:eastAsia="Aptos" w:cs="Aptos"/>
        </w:rPr>
        <w:t xml:space="preserve"> principles as valid in other states. 2. A court's power to decide a case or issue a decree.</w:t>
      </w:r>
    </w:p>
    <w:p w:rsidR="497D0C59" w:rsidP="5A0E2FB1" w:rsidRDefault="497D0C59" w14:paraId="01F663F1" w14:textId="531A6B8D">
      <w:pPr>
        <w:jc w:val="both"/>
        <w:rPr>
          <w:rFonts w:ascii="Aptos" w:hAnsi="Aptos" w:eastAsia="Aptos" w:cs="Aptos"/>
        </w:rPr>
      </w:pPr>
      <w:r w:rsidRPr="5A0E2FB1">
        <w:rPr>
          <w:rFonts w:ascii="Aptos" w:hAnsi="Aptos" w:eastAsia="Aptos" w:cs="Aptos"/>
          <w:b/>
          <w:bCs/>
        </w:rPr>
        <w:t>Legal System</w:t>
      </w:r>
      <w:r w:rsidRPr="5A0E2FB1">
        <w:rPr>
          <w:rFonts w:ascii="Aptos" w:hAnsi="Aptos" w:eastAsia="Aptos" w:cs="Aptos"/>
        </w:rPr>
        <w:t xml:space="preserve"> - </w:t>
      </w:r>
      <w:r w:rsidRPr="5A0E2FB1">
        <w:rPr>
          <w:color w:val="212121"/>
        </w:rPr>
        <w:t>The laws and the way they work in a particular jurisdiction.</w:t>
      </w:r>
    </w:p>
    <w:p w:rsidR="5C966308" w:rsidP="6CA8E235" w:rsidRDefault="5C966308" w14:paraId="00E80B97" w14:textId="4A68E1F4">
      <w:pPr>
        <w:jc w:val="both"/>
        <w:rPr>
          <w:color w:val="212121"/>
        </w:rPr>
      </w:pPr>
      <w:r w:rsidRPr="6CA8E235">
        <w:rPr>
          <w:b/>
          <w:bCs/>
          <w:color w:val="212121"/>
        </w:rPr>
        <w:t>Military Law</w:t>
      </w:r>
      <w:r w:rsidRPr="6CA8E235">
        <w:rPr>
          <w:color w:val="212121"/>
        </w:rPr>
        <w:t xml:space="preserve"> - The branch of public law governing military discipline and other rules regarding service in the armed forces. • It is exercised both in peacetime and in war, is recognized by civil courts, and includes rules far broader than for the punishment of offenders. — Also termed military justice. — Sometimes loosely termed martial law.</w:t>
      </w:r>
    </w:p>
    <w:p w:rsidR="5C966308" w:rsidP="6CA8E235" w:rsidRDefault="5C966308" w14:paraId="407DC48E" w14:textId="59323168">
      <w:pPr>
        <w:jc w:val="both"/>
        <w:rPr>
          <w:rFonts w:ascii="Aptos" w:hAnsi="Aptos" w:eastAsia="Aptos" w:cs="Aptos"/>
        </w:rPr>
      </w:pPr>
      <w:r w:rsidRPr="27464DB8" w:rsidR="637CF4EE">
        <w:rPr>
          <w:rFonts w:ascii="Aptos" w:hAnsi="Aptos" w:eastAsia="Aptos" w:cs="Aptos"/>
          <w:b w:val="1"/>
          <w:bCs w:val="1"/>
        </w:rPr>
        <w:t>Municipal Law</w:t>
      </w:r>
      <w:r w:rsidRPr="27464DB8" w:rsidR="637CF4EE">
        <w:rPr>
          <w:rFonts w:ascii="Aptos" w:hAnsi="Aptos" w:eastAsia="Aptos" w:cs="Aptos"/>
        </w:rPr>
        <w:t xml:space="preserve"> </w:t>
      </w:r>
      <w:r w:rsidRPr="27464DB8" w:rsidR="0D92581C">
        <w:rPr>
          <w:rFonts w:ascii="Aptos" w:hAnsi="Aptos" w:eastAsia="Aptos" w:cs="Aptos"/>
        </w:rPr>
        <w:t>- Ordinances</w:t>
      </w:r>
      <w:r w:rsidRPr="27464DB8" w:rsidR="637CF4EE">
        <w:rPr>
          <w:rFonts w:ascii="Aptos" w:hAnsi="Aptos" w:eastAsia="Aptos" w:cs="Aptos"/>
        </w:rPr>
        <w:t xml:space="preserve"> and other laws applicable within a city, town, or other local governmental entity.</w:t>
      </w:r>
    </w:p>
    <w:p w:rsidR="48302162" w:rsidP="57FD3BB1" w:rsidRDefault="48302162" w14:paraId="6EFF94EF" w14:textId="74D01019">
      <w:pPr>
        <w:jc w:val="both"/>
        <w:rPr>
          <w:rFonts w:ascii="Aptos" w:hAnsi="Aptos" w:eastAsia="Aptos" w:cs="Aptos"/>
        </w:rPr>
      </w:pPr>
      <w:r w:rsidRPr="57FD3BB1" w:rsidR="48302162">
        <w:rPr>
          <w:rFonts w:ascii="Aptos" w:hAnsi="Aptos" w:eastAsia="Aptos" w:cs="Aptos"/>
        </w:rPr>
        <w:t xml:space="preserve">Ratio Decidendi - The principle or rule of law on which a </w:t>
      </w:r>
      <w:r w:rsidRPr="57FD3BB1" w:rsidR="224C191A">
        <w:rPr>
          <w:rFonts w:ascii="Aptos" w:hAnsi="Aptos" w:eastAsia="Aptos" w:cs="Aptos"/>
        </w:rPr>
        <w:t>court</w:t>
      </w:r>
      <w:r w:rsidRPr="57FD3BB1" w:rsidR="48302162">
        <w:rPr>
          <w:rFonts w:ascii="Aptos" w:hAnsi="Aptos" w:eastAsia="Aptos" w:cs="Aptos"/>
        </w:rPr>
        <w:t xml:space="preserve"> decision is founded. “The process of judicial reasoning that was necessary in order for the court to reach [the] result” see: </w:t>
      </w:r>
      <w:r w:rsidRPr="57FD3BB1" w:rsidR="48302162">
        <w:rPr>
          <w:rFonts w:ascii="Aptos" w:hAnsi="Aptos" w:eastAsia="Aptos" w:cs="Aptos"/>
          <w:i w:val="1"/>
          <w:iCs w:val="1"/>
        </w:rPr>
        <w:t>Drover v Canada (AG)</w:t>
      </w:r>
      <w:r w:rsidRPr="57FD3BB1" w:rsidR="48302162">
        <w:rPr>
          <w:rFonts w:ascii="Aptos" w:hAnsi="Aptos" w:eastAsia="Aptos" w:cs="Aptos"/>
        </w:rPr>
        <w:t xml:space="preserve">, 2025 ONCA 468 at para 36, citing </w:t>
      </w:r>
      <w:r w:rsidRPr="57FD3BB1" w:rsidR="48302162">
        <w:rPr>
          <w:rFonts w:ascii="Aptos" w:hAnsi="Aptos" w:eastAsia="Aptos" w:cs="Aptos"/>
          <w:i w:val="1"/>
          <w:iCs w:val="1"/>
        </w:rPr>
        <w:t>Canada (AG) v Bedford</w:t>
      </w:r>
      <w:r w:rsidRPr="57FD3BB1" w:rsidR="48302162">
        <w:rPr>
          <w:rFonts w:ascii="Aptos" w:hAnsi="Aptos" w:eastAsia="Aptos" w:cs="Aptos"/>
        </w:rPr>
        <w:t xml:space="preserve">, 2012 ONCA 186 at para 57 aff’d in part, </w:t>
      </w:r>
      <w:r w:rsidRPr="57FD3BB1" w:rsidR="48302162">
        <w:rPr>
          <w:rFonts w:ascii="Aptos" w:hAnsi="Aptos" w:eastAsia="Aptos" w:cs="Aptos"/>
        </w:rPr>
        <w:t>rev’d</w:t>
      </w:r>
      <w:r w:rsidRPr="57FD3BB1" w:rsidR="48302162">
        <w:rPr>
          <w:rFonts w:ascii="Aptos" w:hAnsi="Aptos" w:eastAsia="Aptos" w:cs="Aptos"/>
        </w:rPr>
        <w:t xml:space="preserve"> in part, 2013 SCC 72, [2013] 3 SCR 1101.</w:t>
      </w:r>
    </w:p>
    <w:p w:rsidR="5F5709E9" w:rsidP="6CA8E235" w:rsidRDefault="5F5709E9" w14:paraId="37613DB2" w14:textId="1443D97E">
      <w:pPr>
        <w:jc w:val="both"/>
        <w:rPr>
          <w:rFonts w:ascii="Aptos" w:hAnsi="Aptos" w:eastAsia="Aptos" w:cs="Aptos"/>
        </w:rPr>
      </w:pPr>
      <w:r w:rsidRPr="6CA8E235">
        <w:rPr>
          <w:rFonts w:ascii="Aptos" w:hAnsi="Aptos" w:eastAsia="Aptos" w:cs="Aptos"/>
          <w:b/>
          <w:bCs/>
        </w:rPr>
        <w:t>Remedies</w:t>
      </w:r>
      <w:r w:rsidRPr="6CA8E235">
        <w:rPr>
          <w:rFonts w:ascii="Aptos" w:hAnsi="Aptos" w:eastAsia="Aptos" w:cs="Aptos"/>
        </w:rPr>
        <w:t xml:space="preserve"> - The field of law dealing with the means of enforcing rights and redressing wrongs.</w:t>
      </w:r>
    </w:p>
    <w:p w:rsidR="4B60E89F" w:rsidP="1D95EFEC" w:rsidRDefault="4B60E89F" w14:paraId="5B703559" w14:textId="1C406875">
      <w:pPr>
        <w:jc w:val="both"/>
        <w:rPr>
          <w:rFonts w:ascii="Aptos" w:hAnsi="Aptos" w:eastAsia="Aptos" w:cs="Aptos"/>
        </w:rPr>
      </w:pPr>
      <w:r w:rsidRPr="27464DB8" w:rsidR="7F5F7D1E">
        <w:rPr>
          <w:rFonts w:ascii="Aptos" w:hAnsi="Aptos" w:eastAsia="Aptos" w:cs="Aptos"/>
          <w:b w:val="1"/>
          <w:bCs w:val="1"/>
        </w:rPr>
        <w:t>Stare Decisis</w:t>
      </w:r>
      <w:r w:rsidRPr="27464DB8" w:rsidR="7F5F7D1E">
        <w:rPr>
          <w:rFonts w:ascii="Aptos" w:hAnsi="Aptos" w:eastAsia="Aptos" w:cs="Aptos"/>
        </w:rPr>
        <w:t xml:space="preserve"> - The doctrine of </w:t>
      </w:r>
      <w:r w:rsidRPr="27464DB8" w:rsidR="7F5F7D1E">
        <w:rPr>
          <w:rFonts w:ascii="Aptos" w:hAnsi="Aptos" w:eastAsia="Aptos" w:cs="Aptos"/>
          <w:b w:val="1"/>
          <w:bCs w:val="1"/>
        </w:rPr>
        <w:t>precedent</w:t>
      </w:r>
      <w:r w:rsidRPr="27464DB8" w:rsidR="7F5F7D1E">
        <w:rPr>
          <w:rFonts w:ascii="Aptos" w:hAnsi="Aptos" w:eastAsia="Aptos" w:cs="Aptos"/>
        </w:rPr>
        <w:t>, under which a court must follow earlier judicial decisions when the same points arise again in litigation</w:t>
      </w:r>
      <w:r w:rsidRPr="27464DB8" w:rsidR="7F5F7D1E">
        <w:rPr>
          <w:rFonts w:ascii="Aptos" w:hAnsi="Aptos" w:eastAsia="Aptos" w:cs="Aptos"/>
        </w:rPr>
        <w:t>.</w:t>
      </w:r>
      <w:r w:rsidRPr="27464DB8" w:rsidR="4C204D18">
        <w:rPr>
          <w:rFonts w:ascii="Aptos" w:hAnsi="Aptos" w:eastAsia="Aptos" w:cs="Aptos"/>
        </w:rPr>
        <w:t xml:space="preserve">  </w:t>
      </w:r>
    </w:p>
    <w:p w:rsidR="7852E866" w:rsidP="27464DB8" w:rsidRDefault="7852E866" w14:paraId="46C30A3E" w14:textId="25AFF03E">
      <w:pPr>
        <w:jc w:val="both"/>
        <w:rPr>
          <w:rFonts w:ascii="Aptos" w:hAnsi="Aptos" w:eastAsia="Aptos" w:cs="Aptos"/>
          <w:i w:val="0"/>
          <w:iCs w:val="0"/>
        </w:rPr>
      </w:pPr>
      <w:r w:rsidRPr="27464DB8" w:rsidR="7852E866">
        <w:rPr>
          <w:rFonts w:ascii="Aptos" w:hAnsi="Aptos" w:eastAsia="Aptos" w:cs="Aptos"/>
        </w:rPr>
        <w:t>-</w:t>
      </w:r>
      <w:r w:rsidRPr="27464DB8" w:rsidR="183706EA">
        <w:rPr>
          <w:rFonts w:ascii="Aptos" w:hAnsi="Aptos" w:eastAsia="Aptos" w:cs="Aptos"/>
        </w:rPr>
        <w:t>”</w:t>
      </w:r>
      <w:r w:rsidRPr="27464DB8" w:rsidR="7852E866">
        <w:rPr>
          <w:rFonts w:ascii="Aptos" w:hAnsi="Aptos" w:eastAsia="Aptos" w:cs="Aptos"/>
        </w:rPr>
        <w:t xml:space="preserve">Overturning precedent is a step not to be lightly undertaken...and would require </w:t>
      </w:r>
      <w:r>
        <w:tab/>
      </w:r>
      <w:r w:rsidRPr="27464DB8" w:rsidR="7852E866">
        <w:rPr>
          <w:rFonts w:ascii="Aptos" w:hAnsi="Aptos" w:eastAsia="Aptos" w:cs="Aptos"/>
        </w:rPr>
        <w:t xml:space="preserve">the court to articulate compelling reasons that the precedent was wrongly decided.  </w:t>
      </w:r>
      <w:r>
        <w:tab/>
      </w:r>
      <w:r w:rsidRPr="27464DB8" w:rsidR="7852E866">
        <w:rPr>
          <w:rFonts w:ascii="Aptos" w:hAnsi="Aptos" w:eastAsia="Aptos" w:cs="Aptos"/>
        </w:rPr>
        <w:t>A precedent</w:t>
      </w:r>
      <w:r w:rsidRPr="27464DB8" w:rsidR="177421CC">
        <w:rPr>
          <w:rFonts w:ascii="Aptos" w:hAnsi="Aptos" w:eastAsia="Aptos" w:cs="Aptos"/>
        </w:rPr>
        <w:t xml:space="preserve"> overruled is definitively and formally deprived of all authority, </w:t>
      </w:r>
      <w:r>
        <w:tab/>
      </w:r>
      <w:r>
        <w:tab/>
      </w:r>
      <w:r w:rsidRPr="27464DB8" w:rsidR="177421CC">
        <w:rPr>
          <w:rFonts w:ascii="Aptos" w:hAnsi="Aptos" w:eastAsia="Aptos" w:cs="Aptos"/>
        </w:rPr>
        <w:t>b</w:t>
      </w:r>
      <w:r w:rsidRPr="27464DB8" w:rsidR="4A22B348">
        <w:rPr>
          <w:rFonts w:ascii="Aptos" w:hAnsi="Aptos" w:eastAsia="Aptos" w:cs="Aptos"/>
        </w:rPr>
        <w:t>e</w:t>
      </w:r>
      <w:r w:rsidRPr="27464DB8" w:rsidR="177421CC">
        <w:rPr>
          <w:rFonts w:ascii="Aptos" w:hAnsi="Aptos" w:eastAsia="Aptos" w:cs="Aptos"/>
        </w:rPr>
        <w:t xml:space="preserve">coming null and </w:t>
      </w:r>
      <w:r w:rsidRPr="27464DB8" w:rsidR="177421CC">
        <w:rPr>
          <w:rFonts w:ascii="Aptos" w:hAnsi="Aptos" w:eastAsia="Aptos" w:cs="Aptos"/>
        </w:rPr>
        <w:t>void</w:t>
      </w:r>
      <w:r w:rsidRPr="27464DB8" w:rsidR="177421CC">
        <w:rPr>
          <w:rFonts w:ascii="Aptos" w:hAnsi="Aptos" w:eastAsia="Aptos" w:cs="Aptos"/>
        </w:rPr>
        <w:t>.</w:t>
      </w:r>
      <w:r w:rsidRPr="27464DB8" w:rsidR="161B76FE">
        <w:rPr>
          <w:rFonts w:ascii="Aptos" w:hAnsi="Aptos" w:eastAsia="Aptos" w:cs="Aptos"/>
        </w:rPr>
        <w:t>.</w:t>
      </w:r>
      <w:r w:rsidRPr="27464DB8" w:rsidR="177421CC">
        <w:rPr>
          <w:rFonts w:ascii="Aptos" w:hAnsi="Aptos" w:eastAsia="Aptos" w:cs="Aptos"/>
        </w:rPr>
        <w:t>.</w:t>
      </w:r>
      <w:r w:rsidRPr="27464DB8" w:rsidR="3B763CF6">
        <w:rPr>
          <w:rFonts w:ascii="Aptos" w:hAnsi="Aptos" w:eastAsia="Aptos" w:cs="Aptos"/>
        </w:rPr>
        <w:t>{</w:t>
      </w:r>
      <w:r w:rsidRPr="27464DB8" w:rsidR="177421CC">
        <w:rPr>
          <w:rFonts w:ascii="Aptos" w:hAnsi="Aptos" w:eastAsia="Aptos" w:cs="Aptos"/>
        </w:rPr>
        <w:t>and replaced with</w:t>
      </w:r>
      <w:r w:rsidRPr="27464DB8" w:rsidR="7D6BB86F">
        <w:rPr>
          <w:rFonts w:ascii="Aptos" w:hAnsi="Aptos" w:eastAsia="Aptos" w:cs="Aptos"/>
        </w:rPr>
        <w:t>}</w:t>
      </w:r>
      <w:r w:rsidRPr="27464DB8" w:rsidR="177421CC">
        <w:rPr>
          <w:rFonts w:ascii="Aptos" w:hAnsi="Aptos" w:eastAsia="Aptos" w:cs="Aptos"/>
        </w:rPr>
        <w:t xml:space="preserve"> an authoritative new principle.</w:t>
      </w:r>
      <w:r w:rsidRPr="27464DB8" w:rsidR="7852E866">
        <w:rPr>
          <w:rFonts w:ascii="Aptos" w:hAnsi="Aptos" w:eastAsia="Aptos" w:cs="Aptos"/>
        </w:rPr>
        <w:t>”</w:t>
      </w:r>
      <w:r w:rsidRPr="27464DB8" w:rsidR="12E094D3">
        <w:rPr>
          <w:rFonts w:ascii="Aptos" w:hAnsi="Aptos" w:eastAsia="Aptos" w:cs="Aptos"/>
        </w:rPr>
        <w:t xml:space="preserve"> See </w:t>
      </w:r>
      <w:r>
        <w:tab/>
      </w:r>
      <w:r w:rsidRPr="27464DB8" w:rsidR="12E094D3">
        <w:rPr>
          <w:rFonts w:ascii="Aptos" w:hAnsi="Aptos" w:eastAsia="Aptos" w:cs="Aptos"/>
          <w:i w:val="1"/>
          <w:iCs w:val="1"/>
        </w:rPr>
        <w:t>Drover</w:t>
      </w:r>
      <w:r w:rsidRPr="27464DB8" w:rsidR="12E094D3">
        <w:rPr>
          <w:rFonts w:ascii="Aptos" w:hAnsi="Aptos" w:eastAsia="Aptos" w:cs="Aptos"/>
          <w:i w:val="0"/>
          <w:iCs w:val="0"/>
        </w:rPr>
        <w:t xml:space="preserve"> at para 42.</w:t>
      </w:r>
    </w:p>
    <w:p w:rsidR="4B60E89F" w:rsidP="1D95EFEC" w:rsidRDefault="4B60E89F" w14:paraId="46D409B7" w14:textId="3EA073E9">
      <w:pPr>
        <w:jc w:val="both"/>
        <w:rPr>
          <w:rFonts w:ascii="Aptos" w:hAnsi="Aptos" w:eastAsia="Aptos" w:cs="Aptos"/>
        </w:rPr>
      </w:pPr>
      <w:r w:rsidRPr="1D95EFEC" w:rsidR="4C204D18">
        <w:rPr>
          <w:rFonts w:ascii="Aptos" w:hAnsi="Aptos" w:eastAsia="Aptos" w:cs="Aptos"/>
          <w:b w:val="1"/>
          <w:bCs w:val="1"/>
        </w:rPr>
        <w:t>Binding Authority</w:t>
      </w:r>
      <w:r w:rsidRPr="1D95EFEC" w:rsidR="4C204D18">
        <w:rPr>
          <w:rFonts w:ascii="Aptos" w:hAnsi="Aptos" w:eastAsia="Aptos" w:cs="Aptos"/>
        </w:rPr>
        <w:t xml:space="preserve"> - A precedent that a court must follow. For example, a lower court is bound by an applicable holding of a higher court in the same </w:t>
      </w:r>
      <w:r w:rsidRPr="1D95EFEC" w:rsidR="4C204D18">
        <w:rPr>
          <w:rFonts w:ascii="Aptos" w:hAnsi="Aptos" w:eastAsia="Aptos" w:cs="Aptos"/>
        </w:rPr>
        <w:t>jurisdiction</w:t>
      </w:r>
      <w:r w:rsidRPr="1D95EFEC" w:rsidR="4C204D18">
        <w:rPr>
          <w:rFonts w:ascii="Aptos" w:hAnsi="Aptos" w:eastAsia="Aptos" w:cs="Aptos"/>
        </w:rPr>
        <w:t>.</w:t>
      </w:r>
    </w:p>
    <w:p w:rsidR="4B60E89F" w:rsidP="1D95EFEC" w:rsidRDefault="4B60E89F" w14:paraId="13646B8C" w14:textId="3740C71A">
      <w:pPr>
        <w:spacing w:before="0" w:beforeAutospacing="off" w:after="160" w:afterAutospacing="off"/>
        <w:ind w:firstLine="720"/>
        <w:jc w:val="both"/>
      </w:pPr>
      <w:r w:rsidRPr="1D95EFEC" w:rsidR="385251C9">
        <w:rPr>
          <w:rFonts w:ascii="Aptos" w:hAnsi="Aptos" w:eastAsia="Aptos" w:cs="Aptos"/>
          <w:b w:val="0"/>
          <w:bCs w:val="0"/>
          <w:i w:val="0"/>
          <w:iCs w:val="0"/>
          <w:strike w:val="0"/>
          <w:dstrike w:val="0"/>
          <w:noProof w:val="0"/>
          <w:color w:val="000000" w:themeColor="text1" w:themeTint="FF" w:themeShade="FF"/>
          <w:sz w:val="24"/>
          <w:szCs w:val="24"/>
          <w:u w:val="none"/>
          <w:lang w:val="en-US"/>
        </w:rPr>
        <w:t>See also: authoritative precedent or vertical precedent or vertical stare decisis-</w:t>
      </w:r>
    </w:p>
    <w:p w:rsidR="4B60E89F" w:rsidP="1D95EFEC" w:rsidRDefault="4B60E89F" w14:paraId="59D837CD" w14:textId="4E37D755">
      <w:pPr>
        <w:spacing w:before="0" w:beforeAutospacing="off" w:after="160" w:afterAutospacing="off"/>
        <w:ind w:left="720" w:right="0"/>
        <w:jc w:val="both"/>
        <w:rPr>
          <w:rFonts w:ascii="Arial" w:hAnsi="Arial" w:eastAsia="Arial" w:cs="Arial"/>
          <w:b w:val="0"/>
          <w:bCs w:val="0"/>
          <w:i w:val="0"/>
          <w:iCs w:val="0"/>
          <w:strike w:val="0"/>
          <w:dstrike w:val="0"/>
          <w:noProof w:val="0"/>
          <w:color w:val="000000" w:themeColor="text1" w:themeTint="FF" w:themeShade="FF"/>
          <w:sz w:val="24"/>
          <w:szCs w:val="24"/>
          <w:u w:val="none"/>
          <w:lang w:val="en-US"/>
        </w:rPr>
      </w:pPr>
      <w:r w:rsidRPr="1D95EFEC" w:rsidR="385251C9">
        <w:rPr>
          <w:rFonts w:ascii="Arial" w:hAnsi="Arial" w:eastAsia="Arial" w:cs="Arial"/>
          <w:b w:val="0"/>
          <w:bCs w:val="0"/>
          <w:i w:val="0"/>
          <w:iCs w:val="0"/>
          <w:strike w:val="0"/>
          <w:dstrike w:val="0"/>
          <w:noProof w:val="0"/>
          <w:color w:val="1F1F1F"/>
          <w:sz w:val="24"/>
          <w:szCs w:val="24"/>
          <w:u w:val="none"/>
          <w:lang w:val="en-US"/>
        </w:rPr>
        <w:t xml:space="preserve">A binding precedent </w:t>
      </w:r>
      <w:r w:rsidRPr="1D95EFEC" w:rsidR="385251C9">
        <w:rPr>
          <w:rFonts w:ascii="Arial" w:hAnsi="Arial" w:eastAsia="Arial" w:cs="Arial"/>
          <w:b w:val="0"/>
          <w:bCs w:val="0"/>
          <w:i w:val="0"/>
          <w:iCs w:val="0"/>
          <w:strike w:val="0"/>
          <w:dstrike w:val="0"/>
          <w:noProof w:val="0"/>
          <w:color w:val="1F1F1F"/>
          <w:sz w:val="24"/>
          <w:szCs w:val="24"/>
          <w:u w:val="none"/>
          <w:lang w:val="en-US"/>
        </w:rPr>
        <w:t>established</w:t>
      </w:r>
      <w:r w:rsidRPr="1D95EFEC" w:rsidR="385251C9">
        <w:rPr>
          <w:rFonts w:ascii="Arial" w:hAnsi="Arial" w:eastAsia="Arial" w:cs="Arial"/>
          <w:b w:val="0"/>
          <w:bCs w:val="0"/>
          <w:i w:val="0"/>
          <w:iCs w:val="0"/>
          <w:strike w:val="0"/>
          <w:dstrike w:val="0"/>
          <w:noProof w:val="0"/>
          <w:color w:val="1F1F1F"/>
          <w:sz w:val="24"/>
          <w:szCs w:val="24"/>
          <w:u w:val="none"/>
          <w:lang w:val="en-US"/>
        </w:rPr>
        <w:t xml:space="preserve"> by a higher court within the same </w:t>
      </w:r>
      <w:r w:rsidRPr="1D95EFEC" w:rsidR="385251C9">
        <w:rPr>
          <w:rFonts w:ascii="Arial" w:hAnsi="Arial" w:eastAsia="Arial" w:cs="Arial"/>
          <w:b w:val="0"/>
          <w:bCs w:val="0"/>
          <w:i w:val="0"/>
          <w:iCs w:val="0"/>
          <w:strike w:val="0"/>
          <w:dstrike w:val="0"/>
          <w:noProof w:val="0"/>
          <w:color w:val="1F1F1F"/>
          <w:sz w:val="24"/>
          <w:szCs w:val="24"/>
          <w:u w:val="none"/>
          <w:lang w:val="en-US"/>
        </w:rPr>
        <w:t>jurisdiction</w:t>
      </w:r>
      <w:r w:rsidRPr="1D95EFEC" w:rsidR="385251C9">
        <w:rPr>
          <w:rFonts w:ascii="Arial" w:hAnsi="Arial" w:eastAsia="Arial" w:cs="Arial"/>
          <w:b w:val="0"/>
          <w:bCs w:val="0"/>
          <w:i w:val="0"/>
          <w:iCs w:val="0"/>
          <w:strike w:val="0"/>
          <w:dstrike w:val="0"/>
          <w:noProof w:val="0"/>
          <w:color w:val="1F1F1F"/>
          <w:sz w:val="24"/>
          <w:szCs w:val="24"/>
          <w:u w:val="none"/>
          <w:lang w:val="en-US"/>
        </w:rPr>
        <w:t xml:space="preserve">. </w:t>
      </w:r>
      <w:r w:rsidRPr="1D95EFEC" w:rsidR="385251C9">
        <w:rPr>
          <w:rFonts w:ascii="Arial" w:hAnsi="Arial" w:eastAsia="Arial" w:cs="Arial"/>
          <w:b w:val="0"/>
          <w:bCs w:val="0"/>
          <w:i w:val="0"/>
          <w:iCs w:val="0"/>
          <w:strike w:val="0"/>
          <w:dstrike w:val="0"/>
          <w:noProof w:val="0"/>
          <w:color w:val="1F1F1F"/>
          <w:sz w:val="24"/>
          <w:szCs w:val="24"/>
          <w:u w:val="none"/>
          <w:lang w:val="en-US"/>
        </w:rPr>
        <w:t>See</w:t>
      </w:r>
      <w:r w:rsidRPr="1D95EFEC" w:rsidR="385251C9">
        <w:rPr>
          <w:rFonts w:ascii="Arial" w:hAnsi="Arial" w:eastAsia="Arial" w:cs="Arial"/>
          <w:b w:val="0"/>
          <w:bCs w:val="0"/>
          <w:i w:val="0"/>
          <w:iCs w:val="0"/>
          <w:strike w:val="0"/>
          <w:dstrike w:val="0"/>
          <w:noProof w:val="0"/>
          <w:color w:val="000000" w:themeColor="text1" w:themeTint="FF" w:themeShade="FF"/>
          <w:sz w:val="24"/>
          <w:szCs w:val="24"/>
          <w:u w:val="none"/>
          <w:lang w:val="en-US"/>
        </w:rPr>
        <w:t xml:space="preserve"> </w:t>
      </w:r>
      <w:r w:rsidRPr="1D95EFEC" w:rsidR="385251C9">
        <w:rPr>
          <w:rFonts w:ascii="Arial" w:hAnsi="Arial" w:eastAsia="Arial" w:cs="Arial"/>
          <w:b w:val="0"/>
          <w:bCs w:val="0"/>
          <w:i w:val="1"/>
          <w:iCs w:val="1"/>
          <w:strike w:val="0"/>
          <w:dstrike w:val="0"/>
          <w:noProof w:val="0"/>
          <w:color w:val="000000" w:themeColor="text1" w:themeTint="FF" w:themeShade="FF"/>
          <w:sz w:val="24"/>
          <w:szCs w:val="24"/>
          <w:u w:val="none"/>
          <w:lang w:val="en-US"/>
        </w:rPr>
        <w:t>Drover</w:t>
      </w:r>
      <w:r w:rsidRPr="1D95EFEC" w:rsidR="385251C9">
        <w:rPr>
          <w:rFonts w:ascii="Arial" w:hAnsi="Arial" w:eastAsia="Arial" w:cs="Arial"/>
          <w:b w:val="0"/>
          <w:bCs w:val="0"/>
          <w:i w:val="0"/>
          <w:iCs w:val="0"/>
          <w:strike w:val="0"/>
          <w:dstrike w:val="0"/>
          <w:noProof w:val="0"/>
          <w:color w:val="000000" w:themeColor="text1" w:themeTint="FF" w:themeShade="FF"/>
          <w:sz w:val="24"/>
          <w:szCs w:val="24"/>
          <w:u w:val="none"/>
          <w:lang w:val="en-US"/>
        </w:rPr>
        <w:t xml:space="preserve"> at para 37. </w:t>
      </w:r>
    </w:p>
    <w:p w:rsidR="4B60E89F" w:rsidP="57FD3BB1" w:rsidRDefault="4B60E89F" w14:paraId="67B48DE5" w14:textId="150D3A8C" w14:noSpellErr="1">
      <w:pPr>
        <w:pStyle w:val="Normal"/>
        <w:spacing w:after="0" w:afterAutospacing="off"/>
        <w:ind w:firstLine="720"/>
        <w:jc w:val="both"/>
        <w:rPr>
          <w:rFonts w:ascii="Arial" w:hAnsi="Arial" w:eastAsia="Arial" w:cs="Arial"/>
          <w:noProof w:val="0"/>
          <w:sz w:val="24"/>
          <w:szCs w:val="24"/>
          <w:lang w:val="en-US"/>
        </w:rPr>
      </w:pPr>
      <w:r w:rsidRPr="57FD3BB1" w:rsidR="385251C9">
        <w:rPr>
          <w:rFonts w:ascii="Arial" w:hAnsi="Arial" w:eastAsia="Arial" w:cs="Arial"/>
          <w:b w:val="0"/>
          <w:bCs w:val="0"/>
          <w:i w:val="0"/>
          <w:iCs w:val="0"/>
          <w:strike w:val="0"/>
          <w:dstrike w:val="0"/>
          <w:noProof w:val="0"/>
          <w:color w:val="000000" w:themeColor="text1" w:themeTint="FF" w:themeShade="FF"/>
          <w:sz w:val="24"/>
          <w:szCs w:val="24"/>
          <w:u w:val="none"/>
          <w:lang w:val="en-US"/>
        </w:rPr>
        <w:t xml:space="preserve">This strict doctrine has only two narrow exceptions: evolving legislative or social </w:t>
      </w:r>
      <w:r>
        <w:tab/>
      </w:r>
      <w:r w:rsidRPr="57FD3BB1" w:rsidR="385251C9">
        <w:rPr>
          <w:rFonts w:ascii="Arial" w:hAnsi="Arial" w:eastAsia="Arial" w:cs="Arial"/>
          <w:b w:val="0"/>
          <w:bCs w:val="0"/>
          <w:i w:val="0"/>
          <w:iCs w:val="0"/>
          <w:strike w:val="0"/>
          <w:dstrike w:val="0"/>
          <w:noProof w:val="0"/>
          <w:color w:val="000000" w:themeColor="text1" w:themeTint="FF" w:themeShade="FF"/>
          <w:sz w:val="24"/>
          <w:szCs w:val="24"/>
          <w:u w:val="none"/>
          <w:lang w:val="en-US"/>
        </w:rPr>
        <w:t xml:space="preserve">facts, or novel principles that post-date the prior decision and justify </w:t>
      </w:r>
    </w:p>
    <w:p w:rsidR="4B60E89F" w:rsidP="1D95EFEC" w:rsidRDefault="4B60E89F" w14:paraId="5B10444F" w14:noSpellErr="1" w14:textId="2117E00F">
      <w:pPr>
        <w:pStyle w:val="Normal"/>
        <w:ind w:firstLine="720"/>
        <w:jc w:val="both"/>
        <w:rPr>
          <w:rFonts w:ascii="Arial" w:hAnsi="Arial" w:eastAsia="Arial" w:cs="Arial"/>
          <w:noProof w:val="0"/>
          <w:sz w:val="24"/>
          <w:szCs w:val="24"/>
          <w:lang w:val="en-US"/>
        </w:rPr>
      </w:pPr>
      <w:bookmarkStart w:name="_Int_NJYZwpia" w:id="443990741"/>
      <w:r w:rsidRPr="57FD3BB1" w:rsidR="385251C9">
        <w:rPr>
          <w:rFonts w:ascii="Arial" w:hAnsi="Arial" w:eastAsia="Arial" w:cs="Arial"/>
          <w:b w:val="0"/>
          <w:bCs w:val="0"/>
          <w:i w:val="0"/>
          <w:iCs w:val="0"/>
          <w:strike w:val="0"/>
          <w:dstrike w:val="0"/>
          <w:noProof w:val="0"/>
          <w:color w:val="000000" w:themeColor="text1" w:themeTint="FF" w:themeShade="FF"/>
          <w:sz w:val="24"/>
          <w:szCs w:val="24"/>
          <w:u w:val="none"/>
          <w:lang w:val="en-US"/>
        </w:rPr>
        <w:t>re</w:t>
      </w:r>
      <w:bookmarkEnd w:id="443990741"/>
      <w:r w:rsidRPr="57FD3BB1" w:rsidR="385251C9">
        <w:rPr>
          <w:rFonts w:ascii="Arial" w:hAnsi="Arial" w:eastAsia="Arial" w:cs="Arial"/>
          <w:b w:val="0"/>
          <w:bCs w:val="0"/>
          <w:i w:val="0"/>
          <w:iCs w:val="0"/>
          <w:strike w:val="0"/>
          <w:dstrike w:val="0"/>
          <w:noProof w:val="0"/>
          <w:color w:val="000000" w:themeColor="text1" w:themeTint="FF" w:themeShade="FF"/>
          <w:sz w:val="24"/>
          <w:szCs w:val="24"/>
          <w:u w:val="none"/>
          <w:lang w:val="en-US"/>
        </w:rPr>
        <w:t>-</w:t>
      </w:r>
      <w:r w:rsidRPr="57FD3BB1" w:rsidR="385251C9">
        <w:rPr>
          <w:rFonts w:ascii="Arial" w:hAnsi="Arial" w:eastAsia="Arial" w:cs="Arial"/>
          <w:b w:val="0"/>
          <w:bCs w:val="0"/>
          <w:i w:val="0"/>
          <w:iCs w:val="0"/>
          <w:strike w:val="0"/>
          <w:dstrike w:val="0"/>
          <w:noProof w:val="0"/>
          <w:color w:val="000000" w:themeColor="text1" w:themeTint="FF" w:themeShade="FF"/>
          <w:sz w:val="24"/>
          <w:szCs w:val="24"/>
          <w:u w:val="none"/>
          <w:lang w:val="en-US"/>
        </w:rPr>
        <w:t xml:space="preserve">evaluation. See </w:t>
      </w:r>
      <w:r w:rsidRPr="57FD3BB1" w:rsidR="385251C9">
        <w:rPr>
          <w:rFonts w:ascii="Arial" w:hAnsi="Arial" w:eastAsia="Arial" w:cs="Arial"/>
          <w:b w:val="0"/>
          <w:bCs w:val="0"/>
          <w:i w:val="1"/>
          <w:iCs w:val="1"/>
          <w:strike w:val="0"/>
          <w:dstrike w:val="0"/>
          <w:noProof w:val="0"/>
          <w:color w:val="000000" w:themeColor="text1" w:themeTint="FF" w:themeShade="FF"/>
          <w:sz w:val="24"/>
          <w:szCs w:val="24"/>
          <w:u w:val="none"/>
          <w:lang w:val="en-US"/>
        </w:rPr>
        <w:t xml:space="preserve">Drover </w:t>
      </w:r>
      <w:r w:rsidRPr="57FD3BB1" w:rsidR="385251C9">
        <w:rPr>
          <w:rFonts w:ascii="Arial" w:hAnsi="Arial" w:eastAsia="Arial" w:cs="Arial"/>
          <w:b w:val="0"/>
          <w:bCs w:val="0"/>
          <w:i w:val="0"/>
          <w:iCs w:val="0"/>
          <w:strike w:val="0"/>
          <w:dstrike w:val="0"/>
          <w:noProof w:val="0"/>
          <w:color w:val="000000" w:themeColor="text1" w:themeTint="FF" w:themeShade="FF"/>
          <w:sz w:val="24"/>
          <w:szCs w:val="24"/>
          <w:u w:val="none"/>
          <w:lang w:val="en-US"/>
        </w:rPr>
        <w:t>at para 37.</w:t>
      </w:r>
    </w:p>
    <w:p w:rsidR="4B60E89F" w:rsidP="6CA8E235" w:rsidRDefault="4B60E89F" w14:paraId="1E2C7A0B" w14:textId="7286945B">
      <w:pPr>
        <w:jc w:val="both"/>
        <w:rPr>
          <w:rFonts w:ascii="Aptos" w:hAnsi="Aptos" w:eastAsia="Aptos" w:cs="Aptos"/>
        </w:rPr>
      </w:pPr>
      <w:r w:rsidRPr="1D95EFEC" w:rsidR="385251C9">
        <w:rPr>
          <w:rFonts w:ascii="Aptos" w:hAnsi="Aptos" w:eastAsia="Aptos" w:cs="Aptos"/>
          <w:b w:val="1"/>
          <w:bCs w:val="1"/>
        </w:rPr>
        <w:t>Persuasive</w:t>
      </w:r>
      <w:r w:rsidRPr="1D95EFEC" w:rsidR="4C204D18">
        <w:rPr>
          <w:rFonts w:ascii="Aptos" w:hAnsi="Aptos" w:eastAsia="Aptos" w:cs="Aptos"/>
        </w:rPr>
        <w:t xml:space="preserve"> </w:t>
      </w:r>
      <w:r w:rsidRPr="1D95EFEC" w:rsidR="59024FF8">
        <w:rPr>
          <w:rFonts w:ascii="Aptos" w:hAnsi="Aptos" w:eastAsia="Aptos" w:cs="Aptos"/>
          <w:b w:val="1"/>
          <w:bCs w:val="1"/>
        </w:rPr>
        <w:t>A</w:t>
      </w:r>
      <w:r w:rsidRPr="1D95EFEC" w:rsidR="59024FF8">
        <w:rPr>
          <w:rFonts w:ascii="Aptos" w:hAnsi="Aptos" w:eastAsia="Aptos" w:cs="Aptos"/>
          <w:b w:val="1"/>
          <w:bCs w:val="1"/>
        </w:rPr>
        <w:t>uthority</w:t>
      </w:r>
      <w:r w:rsidRPr="1D95EFEC" w:rsidR="59024FF8">
        <w:rPr>
          <w:rFonts w:ascii="Aptos" w:hAnsi="Aptos" w:eastAsia="Aptos" w:cs="Aptos"/>
        </w:rPr>
        <w:t xml:space="preserve"> that carries some weight but is not binding on a court, often from a court in a different </w:t>
      </w:r>
      <w:r w:rsidRPr="1D95EFEC" w:rsidR="59024FF8">
        <w:rPr>
          <w:rFonts w:ascii="Aptos" w:hAnsi="Aptos" w:eastAsia="Aptos" w:cs="Aptos"/>
        </w:rPr>
        <w:t>ju</w:t>
      </w:r>
      <w:r w:rsidRPr="1D95EFEC" w:rsidR="59024FF8">
        <w:rPr>
          <w:rFonts w:ascii="Aptos" w:hAnsi="Aptos" w:eastAsia="Aptos" w:cs="Aptos"/>
        </w:rPr>
        <w:t>risdiction</w:t>
      </w:r>
      <w:r w:rsidRPr="1D95EFEC" w:rsidR="59024FF8">
        <w:rPr>
          <w:rFonts w:ascii="Aptos" w:hAnsi="Aptos" w:eastAsia="Aptos" w:cs="Aptos"/>
        </w:rPr>
        <w:t>.</w:t>
      </w:r>
    </w:p>
    <w:p w:rsidR="6CA8E235" w:rsidP="6CA8E235" w:rsidRDefault="6CA8E235" w14:paraId="114D6047" w14:textId="47EA56EC">
      <w:pPr>
        <w:jc w:val="both"/>
        <w:rPr>
          <w:rFonts w:ascii="Aptos" w:hAnsi="Aptos" w:eastAsia="Aptos" w:cs="Aptos"/>
        </w:rPr>
      </w:pPr>
    </w:p>
    <w:sectPr w:rsidR="6CA8E235">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int2:observations>
    <int2:textHash int2:hashCode="j1gi+Smftn0iOj" int2:id="88Oliq6O">
      <int2:state int2:type="spell" int2:value="Rejected"/>
    </int2:textHash>
    <int2:bookmark int2:bookmarkName="_Int_NJYZwpia" int2:invalidationBookmarkName="" int2:hashCode="w4fJgqEy0Fy9X4" int2:id="H7nSKnNq">
      <int2:state int2:type="gram" int2:value="Rejected"/>
    </int2:bookmark>
    <int2:bookmark int2:bookmarkName="_Int_LQL2uRmd" int2:invalidationBookmarkName="" int2:hashCode="S2M5uimlgoBmbs" int2:id="4Q2NByoH">
      <int2:state int2:type="gram" int2:value="Rejected"/>
    </int2:bookmark>
  </int2:observations>
  <int2:intelligenceSetting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F1CD2C4"/>
    <w:rsid w:val="003075DF"/>
    <w:rsid w:val="003B4189"/>
    <w:rsid w:val="00407789"/>
    <w:rsid w:val="0189F2E3"/>
    <w:rsid w:val="018D19DB"/>
    <w:rsid w:val="0366DC32"/>
    <w:rsid w:val="048F67E5"/>
    <w:rsid w:val="078A6999"/>
    <w:rsid w:val="08DD8FFB"/>
    <w:rsid w:val="0933D36D"/>
    <w:rsid w:val="0A8EA0CA"/>
    <w:rsid w:val="0AD18101"/>
    <w:rsid w:val="0B060709"/>
    <w:rsid w:val="0D2F0838"/>
    <w:rsid w:val="0D92581C"/>
    <w:rsid w:val="0E950B3D"/>
    <w:rsid w:val="0F1CD2C4"/>
    <w:rsid w:val="12E094D3"/>
    <w:rsid w:val="1324C47D"/>
    <w:rsid w:val="13814E2A"/>
    <w:rsid w:val="14B9F9CF"/>
    <w:rsid w:val="161B76FE"/>
    <w:rsid w:val="171C0FB2"/>
    <w:rsid w:val="177421CC"/>
    <w:rsid w:val="17FFEB52"/>
    <w:rsid w:val="183706EA"/>
    <w:rsid w:val="1955F388"/>
    <w:rsid w:val="1C8D7BA0"/>
    <w:rsid w:val="1D95EFEC"/>
    <w:rsid w:val="1E674D9E"/>
    <w:rsid w:val="224C191A"/>
    <w:rsid w:val="23B5ED70"/>
    <w:rsid w:val="24208930"/>
    <w:rsid w:val="26A237BC"/>
    <w:rsid w:val="27464DB8"/>
    <w:rsid w:val="2815D85A"/>
    <w:rsid w:val="2856BF24"/>
    <w:rsid w:val="2F0E1751"/>
    <w:rsid w:val="34DB29E1"/>
    <w:rsid w:val="374774FD"/>
    <w:rsid w:val="385251C9"/>
    <w:rsid w:val="3AB068B6"/>
    <w:rsid w:val="3AB44042"/>
    <w:rsid w:val="3B763CF6"/>
    <w:rsid w:val="417E1E80"/>
    <w:rsid w:val="42B68E87"/>
    <w:rsid w:val="464C53CF"/>
    <w:rsid w:val="472901DA"/>
    <w:rsid w:val="48302162"/>
    <w:rsid w:val="484868AA"/>
    <w:rsid w:val="48FE7FDA"/>
    <w:rsid w:val="497D0C59"/>
    <w:rsid w:val="4A22B348"/>
    <w:rsid w:val="4A4BF2FA"/>
    <w:rsid w:val="4B60E89F"/>
    <w:rsid w:val="4BF41D6F"/>
    <w:rsid w:val="4C204D18"/>
    <w:rsid w:val="50D69839"/>
    <w:rsid w:val="53F3EB65"/>
    <w:rsid w:val="5456B2A3"/>
    <w:rsid w:val="54885212"/>
    <w:rsid w:val="54F2B8C3"/>
    <w:rsid w:val="57FD3BB1"/>
    <w:rsid w:val="59024FF8"/>
    <w:rsid w:val="59E70A50"/>
    <w:rsid w:val="5A0E2FB1"/>
    <w:rsid w:val="5C026C93"/>
    <w:rsid w:val="5C966308"/>
    <w:rsid w:val="5F5709E9"/>
    <w:rsid w:val="5FB2AB24"/>
    <w:rsid w:val="6121133A"/>
    <w:rsid w:val="6141D40C"/>
    <w:rsid w:val="61963EFA"/>
    <w:rsid w:val="62ECD2D6"/>
    <w:rsid w:val="6326C1B1"/>
    <w:rsid w:val="637CF4EE"/>
    <w:rsid w:val="67A99C9F"/>
    <w:rsid w:val="67D78521"/>
    <w:rsid w:val="68486D6A"/>
    <w:rsid w:val="6A6A620B"/>
    <w:rsid w:val="6C61411E"/>
    <w:rsid w:val="6C7C2CFE"/>
    <w:rsid w:val="6CA8E235"/>
    <w:rsid w:val="6E1F9F8A"/>
    <w:rsid w:val="6F9E79BD"/>
    <w:rsid w:val="72038307"/>
    <w:rsid w:val="76DD7CF6"/>
    <w:rsid w:val="7852E866"/>
    <w:rsid w:val="796C44F1"/>
    <w:rsid w:val="7B7916E9"/>
    <w:rsid w:val="7C899618"/>
    <w:rsid w:val="7D57E8FB"/>
    <w:rsid w:val="7D6BB86F"/>
    <w:rsid w:val="7D7BC176"/>
    <w:rsid w:val="7EAE00B5"/>
    <w:rsid w:val="7F1F18C4"/>
    <w:rsid w:val="7F5F7D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CD2C4"/>
  <w15:chartTrackingRefBased/>
  <w15:docId w15:val="{18DF3A09-DC38-473C-B784-5814CBB62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anlii.org/en/on/" TargetMode="External" Id="rId8" /><Relationship Type="http://schemas.openxmlformats.org/officeDocument/2006/relationships/customXml" Target="../customXml/item3.xml" Id="rId3" /><Relationship Type="http://schemas.openxmlformats.org/officeDocument/2006/relationships/hyperlink" Target="https://1.next.westlaw.com/Browse/Home/SecondarySources/BlacksLawDictionary?transitionType=Default&amp;contextData=(sc.Default)," TargetMode="Externa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 Type="http://schemas.microsoft.com/office/2020/10/relationships/intelligence" Target="intelligence2.xml" Id="R90c0ae060f66496a"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47f4f23-67ea-4d66-82c9-eeadb1ca5dd4">
      <Terms xmlns="http://schemas.microsoft.com/office/infopath/2007/PartnerControls"/>
    </lcf76f155ced4ddcb4097134ff3c332f>
    <TaxCatchAll xmlns="b808bea8-5654-42bc-8daf-7fd3fde2d1c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B66F00BDC5ABE44BF6E627117F68E3F" ma:contentTypeVersion="17" ma:contentTypeDescription="Create a new document." ma:contentTypeScope="" ma:versionID="2069749f3cef9e54cf422051babf85fb">
  <xsd:schema xmlns:xsd="http://www.w3.org/2001/XMLSchema" xmlns:xs="http://www.w3.org/2001/XMLSchema" xmlns:p="http://schemas.microsoft.com/office/2006/metadata/properties" xmlns:ns2="847f4f23-67ea-4d66-82c9-eeadb1ca5dd4" xmlns:ns3="b808bea8-5654-42bc-8daf-7fd3fde2d1ce" targetNamespace="http://schemas.microsoft.com/office/2006/metadata/properties" ma:root="true" ma:fieldsID="f80b70d62e217b460e91b561032e0a21" ns2:_="" ns3:_="">
    <xsd:import namespace="847f4f23-67ea-4d66-82c9-eeadb1ca5dd4"/>
    <xsd:import namespace="b808bea8-5654-42bc-8daf-7fd3fde2d1c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f4f23-67ea-4d66-82c9-eeadb1ca5d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9bee80c-1694-4361-82b6-5997d1554ef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808bea8-5654-42bc-8daf-7fd3fde2d1c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9bf6995a-8342-4025-bfca-73b85c698bb3}" ma:internalName="TaxCatchAll" ma:showField="CatchAllData" ma:web="b808bea8-5654-42bc-8daf-7fd3fde2d1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B311E4-DD4F-40A9-8868-A15F49A34265}">
  <ds:schemaRefs>
    <ds:schemaRef ds:uri="http://schemas.microsoft.com/office/2006/metadata/properties"/>
    <ds:schemaRef ds:uri="http://schemas.microsoft.com/office/infopath/2007/PartnerControls"/>
    <ds:schemaRef ds:uri="847f4f23-67ea-4d66-82c9-eeadb1ca5dd4"/>
    <ds:schemaRef ds:uri="b808bea8-5654-42bc-8daf-7fd3fde2d1ce"/>
  </ds:schemaRefs>
</ds:datastoreItem>
</file>

<file path=customXml/itemProps2.xml><?xml version="1.0" encoding="utf-8"?>
<ds:datastoreItem xmlns:ds="http://schemas.openxmlformats.org/officeDocument/2006/customXml" ds:itemID="{5CEBB4B9-C406-4CCC-B0B8-BBA603817CE8}">
  <ds:schemaRefs>
    <ds:schemaRef ds:uri="http://schemas.microsoft.com/sharepoint/v3/contenttype/forms"/>
  </ds:schemaRefs>
</ds:datastoreItem>
</file>

<file path=customXml/itemProps3.xml><?xml version="1.0" encoding="utf-8"?>
<ds:datastoreItem xmlns:ds="http://schemas.openxmlformats.org/officeDocument/2006/customXml" ds:itemID="{076A3900-2691-4588-9759-EEBC01B347D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Annette Demers</dc:creator>
  <cp:keywords/>
  <dc:description/>
  <cp:lastModifiedBy>Annette Demers</cp:lastModifiedBy>
  <cp:revision>5</cp:revision>
  <dcterms:created xsi:type="dcterms:W3CDTF">2024-07-29T14:44:00Z</dcterms:created>
  <dcterms:modified xsi:type="dcterms:W3CDTF">2026-01-08T20:05:29Z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0x010100CB66F00BDC5ABE44BF6E627117F68E3F</vt:lpwstr>
  </property>
  <property fmtid="{D5CDD505-2E9C-101B-9397-08002B2CF9AE}" pid="3" name="MediaServiceImageTags">
    <vt:lpwstr/>
  </property>
</Properties>
</file>