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35AB" w14:textId="03F6809D" w:rsidR="007373C0" w:rsidRDefault="00F07865" w:rsidP="007373C0">
      <w:pPr>
        <w:pStyle w:val="Subtitle"/>
        <w:rPr>
          <w:rFonts w:ascii="Sylfaen" w:hAnsi="Sylfaen"/>
          <w:caps/>
          <w:color w:val="auto"/>
        </w:rPr>
      </w:pPr>
      <w:r>
        <w:rPr>
          <w:rFonts w:ascii="Sylfaen" w:hAnsi="Sylfaen"/>
          <w:caps/>
          <w:color w:val="auto"/>
        </w:rPr>
        <w:t xml:space="preserve">Argumentation Studies Program In The </w:t>
      </w:r>
      <w:r w:rsidR="007373C0" w:rsidRPr="000C4DFB">
        <w:rPr>
          <w:rFonts w:ascii="Sylfaen" w:hAnsi="Sylfaen"/>
          <w:caps/>
          <w:color w:val="auto"/>
        </w:rPr>
        <w:t>Department of Philosophy</w:t>
      </w:r>
      <w:r w:rsidR="007373C0" w:rsidRPr="000C4DFB">
        <w:rPr>
          <w:rFonts w:ascii="Sylfaen" w:hAnsi="Sylfaen"/>
          <w:caps/>
          <w:color w:val="auto"/>
        </w:rPr>
        <w:br/>
        <w:t>University of Windsor</w:t>
      </w:r>
    </w:p>
    <w:p w14:paraId="051EBA11" w14:textId="77777777" w:rsidR="007373C0" w:rsidRPr="00D1078C" w:rsidRDefault="007373C0" w:rsidP="007373C0">
      <w:pPr>
        <w:pStyle w:val="Subtitle"/>
        <w:rPr>
          <w:rFonts w:ascii="Sylfaen" w:hAnsi="Sylfaen"/>
          <w:caps/>
          <w:color w:val="auto"/>
          <w:sz w:val="48"/>
          <w:szCs w:val="20"/>
        </w:rPr>
      </w:pPr>
    </w:p>
    <w:p w14:paraId="06D4C298" w14:textId="77777777" w:rsidR="007373C0" w:rsidRPr="000C4DFB" w:rsidRDefault="007373C0" w:rsidP="007373C0">
      <w:pPr>
        <w:pStyle w:val="Title"/>
        <w:rPr>
          <w:rFonts w:ascii="Sylfaen" w:hAnsi="Sylfaen"/>
          <w:color w:val="auto"/>
          <w:sz w:val="72"/>
          <w:szCs w:val="48"/>
        </w:rPr>
      </w:pPr>
      <w:r w:rsidRPr="000C4DFB">
        <w:rPr>
          <w:rFonts w:ascii="Sylfaen" w:hAnsi="Sylfaen"/>
          <w:color w:val="auto"/>
          <w:sz w:val="52"/>
          <w:szCs w:val="40"/>
        </w:rPr>
        <w:t>Notice of Examination</w:t>
      </w:r>
    </w:p>
    <w:p w14:paraId="2B39FF56" w14:textId="77777777" w:rsidR="007373C0" w:rsidRPr="00D1078C" w:rsidRDefault="007373C0" w:rsidP="007373C0">
      <w:pPr>
        <w:ind w:left="567" w:right="567"/>
        <w:jc w:val="both"/>
        <w:rPr>
          <w:rFonts w:ascii="Sylfaen" w:hAnsi="Sylfaen"/>
        </w:rPr>
      </w:pPr>
    </w:p>
    <w:p w14:paraId="6B054FF8" w14:textId="50932939" w:rsidR="007373C0" w:rsidRDefault="007373C0" w:rsidP="007373C0">
      <w:pPr>
        <w:ind w:left="567" w:right="567"/>
        <w:jc w:val="both"/>
        <w:rPr>
          <w:rFonts w:ascii="Sylfaen" w:hAnsi="Sylfaen"/>
          <w:sz w:val="36"/>
          <w:szCs w:val="36"/>
        </w:rPr>
      </w:pPr>
      <w:r w:rsidRPr="000C4DFB">
        <w:rPr>
          <w:rFonts w:ascii="Sylfaen" w:hAnsi="Sylfaen"/>
          <w:sz w:val="36"/>
          <w:szCs w:val="36"/>
        </w:rPr>
        <w:t xml:space="preserve">In partial fulfilment of the requirements for a </w:t>
      </w:r>
      <w:r>
        <w:rPr>
          <w:rFonts w:ascii="Sylfaen" w:hAnsi="Sylfaen"/>
          <w:sz w:val="36"/>
          <w:szCs w:val="36"/>
        </w:rPr>
        <w:t>Philosophical Doctorate in Argumentation Studies</w:t>
      </w:r>
      <w:r w:rsidRPr="000C4DFB">
        <w:rPr>
          <w:rFonts w:ascii="Sylfaen" w:hAnsi="Sylfaen"/>
          <w:sz w:val="36"/>
          <w:szCs w:val="36"/>
        </w:rPr>
        <w:t xml:space="preserve">, an oral examination will be held on the </w:t>
      </w:r>
      <w:r>
        <w:rPr>
          <w:rFonts w:ascii="Sylfaen" w:hAnsi="Sylfaen"/>
          <w:sz w:val="36"/>
          <w:szCs w:val="36"/>
        </w:rPr>
        <w:t>Dissertation</w:t>
      </w:r>
      <w:r w:rsidRPr="000C4DFB">
        <w:rPr>
          <w:rFonts w:ascii="Sylfaen" w:hAnsi="Sylfaen"/>
          <w:sz w:val="36"/>
          <w:szCs w:val="36"/>
        </w:rPr>
        <w:t xml:space="preserve"> of the following candidate:</w:t>
      </w:r>
    </w:p>
    <w:p w14:paraId="4B3477D4" w14:textId="77777777" w:rsidR="007373C0" w:rsidRPr="00D1078C" w:rsidRDefault="007373C0" w:rsidP="007373C0">
      <w:pPr>
        <w:ind w:left="567" w:right="567"/>
        <w:jc w:val="both"/>
        <w:rPr>
          <w:rFonts w:ascii="Sylfaen" w:hAnsi="Sylfaen"/>
        </w:rPr>
      </w:pPr>
    </w:p>
    <w:p w14:paraId="50848FF2" w14:textId="79466B54" w:rsidR="007373C0" w:rsidRDefault="007373C0" w:rsidP="007373C0">
      <w:pPr>
        <w:ind w:left="567" w:right="567"/>
        <w:rPr>
          <w:rFonts w:ascii="Sylfaen" w:hAnsi="Sylfaen"/>
          <w:b/>
          <w:bCs/>
          <w:sz w:val="56"/>
          <w:szCs w:val="56"/>
        </w:rPr>
      </w:pPr>
      <w:r>
        <w:rPr>
          <w:rFonts w:ascii="Sylfaen" w:hAnsi="Sylfaen"/>
          <w:b/>
          <w:bCs/>
          <w:sz w:val="56"/>
          <w:szCs w:val="56"/>
        </w:rPr>
        <w:t>Rose Marie Barrientos</w:t>
      </w:r>
    </w:p>
    <w:p w14:paraId="2A11A1AC" w14:textId="77777777" w:rsidR="007373C0" w:rsidRPr="00D1078C" w:rsidRDefault="007373C0" w:rsidP="007373C0">
      <w:pPr>
        <w:ind w:left="567" w:right="567"/>
        <w:rPr>
          <w:rFonts w:ascii="Sylfaen" w:hAnsi="Sylfaen"/>
          <w:b/>
          <w:b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7486"/>
      </w:tblGrid>
      <w:tr w:rsidR="007373C0" w:rsidRPr="000C4DFB" w14:paraId="4C86F075" w14:textId="77777777" w:rsidTr="00D1078C">
        <w:trPr>
          <w:trHeight w:val="1099"/>
        </w:trPr>
        <w:tc>
          <w:tcPr>
            <w:tcW w:w="2494" w:type="dxa"/>
          </w:tcPr>
          <w:p w14:paraId="0BB1BC67" w14:textId="77777777" w:rsidR="007373C0" w:rsidRPr="007373C0" w:rsidRDefault="007373C0" w:rsidP="00D1078C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Title:</w:t>
            </w:r>
          </w:p>
        </w:tc>
        <w:tc>
          <w:tcPr>
            <w:tcW w:w="7739" w:type="dxa"/>
            <w:vAlign w:val="center"/>
          </w:tcPr>
          <w:p w14:paraId="3C9573C4" w14:textId="14E6ED4A" w:rsidR="007373C0" w:rsidRPr="007373C0" w:rsidRDefault="007373C0" w:rsidP="00AA47AA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Artistic Organizations &amp; Joseph Beuys’ Claim: An Expanded Concept of Argument</w:t>
            </w:r>
          </w:p>
        </w:tc>
      </w:tr>
      <w:tr w:rsidR="007373C0" w:rsidRPr="000C4DFB" w14:paraId="2BE8A9B7" w14:textId="77777777" w:rsidTr="00D1078C">
        <w:trPr>
          <w:trHeight w:val="859"/>
        </w:trPr>
        <w:tc>
          <w:tcPr>
            <w:tcW w:w="2494" w:type="dxa"/>
          </w:tcPr>
          <w:p w14:paraId="6FC39291" w14:textId="77777777" w:rsidR="007373C0" w:rsidRPr="007373C0" w:rsidRDefault="007373C0" w:rsidP="00D1078C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Date:</w:t>
            </w:r>
          </w:p>
        </w:tc>
        <w:tc>
          <w:tcPr>
            <w:tcW w:w="7739" w:type="dxa"/>
            <w:vAlign w:val="center"/>
          </w:tcPr>
          <w:p w14:paraId="3CDAAB41" w14:textId="1CBAEC4A" w:rsidR="007373C0" w:rsidRPr="007373C0" w:rsidRDefault="007373C0" w:rsidP="00AA47AA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Monday, December 11, 2023</w:t>
            </w:r>
          </w:p>
        </w:tc>
      </w:tr>
      <w:tr w:rsidR="007373C0" w:rsidRPr="000C4DFB" w14:paraId="21322966" w14:textId="77777777" w:rsidTr="00D1078C">
        <w:trPr>
          <w:trHeight w:val="845"/>
        </w:trPr>
        <w:tc>
          <w:tcPr>
            <w:tcW w:w="2494" w:type="dxa"/>
          </w:tcPr>
          <w:p w14:paraId="17C3A7CD" w14:textId="77777777" w:rsidR="007373C0" w:rsidRPr="007373C0" w:rsidRDefault="007373C0" w:rsidP="00D1078C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Time:</w:t>
            </w:r>
          </w:p>
        </w:tc>
        <w:tc>
          <w:tcPr>
            <w:tcW w:w="7739" w:type="dxa"/>
            <w:vAlign w:val="center"/>
          </w:tcPr>
          <w:p w14:paraId="4809208A" w14:textId="18B3B0EA" w:rsidR="007373C0" w:rsidRPr="007373C0" w:rsidRDefault="007373C0" w:rsidP="00AA47AA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2:00 p.m. – 5:00 p.m.</w:t>
            </w:r>
          </w:p>
        </w:tc>
      </w:tr>
      <w:tr w:rsidR="007373C0" w:rsidRPr="000C4DFB" w14:paraId="08477F52" w14:textId="77777777" w:rsidTr="00D1078C">
        <w:trPr>
          <w:trHeight w:val="715"/>
        </w:trPr>
        <w:tc>
          <w:tcPr>
            <w:tcW w:w="2494" w:type="dxa"/>
          </w:tcPr>
          <w:p w14:paraId="1C6AEAAD" w14:textId="77777777" w:rsidR="007373C0" w:rsidRPr="007373C0" w:rsidRDefault="007373C0" w:rsidP="00D1078C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Location:</w:t>
            </w:r>
          </w:p>
        </w:tc>
        <w:tc>
          <w:tcPr>
            <w:tcW w:w="7739" w:type="dxa"/>
            <w:vAlign w:val="center"/>
          </w:tcPr>
          <w:p w14:paraId="4CB9A04D" w14:textId="55473AA3" w:rsidR="007373C0" w:rsidRPr="007373C0" w:rsidRDefault="007373C0" w:rsidP="00AA47AA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 w:rsidRPr="007373C0">
              <w:rPr>
                <w:rFonts w:ascii="Sylfaen" w:hAnsi="Sylfaen"/>
                <w:sz w:val="40"/>
                <w:szCs w:val="40"/>
              </w:rPr>
              <w:t>CHN 1163</w:t>
            </w:r>
          </w:p>
        </w:tc>
      </w:tr>
      <w:tr w:rsidR="007373C0" w:rsidRPr="000C4DFB" w14:paraId="33170255" w14:textId="77777777" w:rsidTr="00D1078C">
        <w:trPr>
          <w:trHeight w:val="715"/>
        </w:trPr>
        <w:tc>
          <w:tcPr>
            <w:tcW w:w="2494" w:type="dxa"/>
          </w:tcPr>
          <w:p w14:paraId="6ADB8BA3" w14:textId="2C1C9B75" w:rsidR="007373C0" w:rsidRPr="007373C0" w:rsidRDefault="007373C0" w:rsidP="00D1078C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>
              <w:rPr>
                <w:rFonts w:ascii="Sylfaen" w:hAnsi="Sylfaen"/>
                <w:sz w:val="40"/>
                <w:szCs w:val="40"/>
              </w:rPr>
              <w:t>Committee:</w:t>
            </w:r>
          </w:p>
        </w:tc>
        <w:tc>
          <w:tcPr>
            <w:tcW w:w="7739" w:type="dxa"/>
            <w:vAlign w:val="center"/>
          </w:tcPr>
          <w:p w14:paraId="0388D318" w14:textId="7508A7C7" w:rsidR="007373C0" w:rsidRPr="007373C0" w:rsidRDefault="007373C0" w:rsidP="00AA47AA">
            <w:pPr>
              <w:ind w:right="567"/>
              <w:jc w:val="left"/>
              <w:rPr>
                <w:rFonts w:ascii="Sylfaen" w:hAnsi="Sylfaen"/>
                <w:sz w:val="40"/>
                <w:szCs w:val="40"/>
              </w:rPr>
            </w:pPr>
            <w:r>
              <w:rPr>
                <w:rFonts w:ascii="Sylfaen" w:hAnsi="Sylfaen"/>
                <w:sz w:val="40"/>
                <w:szCs w:val="40"/>
              </w:rPr>
              <w:t>Lee Rodney, Karen Engle, Chris Tindale, Jeff Noonan</w:t>
            </w:r>
          </w:p>
        </w:tc>
      </w:tr>
    </w:tbl>
    <w:p w14:paraId="53A7B5CA" w14:textId="77777777" w:rsidR="007373C0" w:rsidRPr="007373C0" w:rsidRDefault="007373C0" w:rsidP="007373C0">
      <w:pPr>
        <w:jc w:val="both"/>
        <w:rPr>
          <w:rFonts w:ascii="Sylfaen" w:hAnsi="Sylfaen"/>
        </w:rPr>
      </w:pPr>
    </w:p>
    <w:sectPr w:rsidR="007373C0" w:rsidRPr="007373C0">
      <w:footerReference w:type="default" r:id="rId6"/>
      <w:pgSz w:w="12240" w:h="15840"/>
      <w:pgMar w:top="720" w:right="720" w:bottom="108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9E7D" w14:textId="77777777" w:rsidR="005C1EC9" w:rsidRDefault="005C1EC9">
      <w:pPr>
        <w:spacing w:after="0"/>
      </w:pPr>
      <w:r>
        <w:separator/>
      </w:r>
    </w:p>
  </w:endnote>
  <w:endnote w:type="continuationSeparator" w:id="0">
    <w:p w14:paraId="21AC2B10" w14:textId="77777777" w:rsidR="005C1EC9" w:rsidRDefault="005C1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827E" w14:textId="77777777" w:rsidR="00D1078C" w:rsidRDefault="00D107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ED08" w14:textId="77777777" w:rsidR="005C1EC9" w:rsidRDefault="005C1EC9">
      <w:pPr>
        <w:spacing w:after="0"/>
      </w:pPr>
      <w:r>
        <w:separator/>
      </w:r>
    </w:p>
  </w:footnote>
  <w:footnote w:type="continuationSeparator" w:id="0">
    <w:p w14:paraId="5461ED70" w14:textId="77777777" w:rsidR="005C1EC9" w:rsidRDefault="005C1E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C0"/>
    <w:rsid w:val="005C1EC9"/>
    <w:rsid w:val="007373C0"/>
    <w:rsid w:val="00D1078C"/>
    <w:rsid w:val="00F0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C5B0"/>
  <w15:chartTrackingRefBased/>
  <w15:docId w15:val="{A749BB34-862E-46CE-AEA6-5BFE141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C0"/>
    <w:pPr>
      <w:spacing w:line="240" w:lineRule="auto"/>
      <w:jc w:val="center"/>
    </w:pPr>
    <w:rPr>
      <w:rFonts w:eastAsiaTheme="minorEastAsia"/>
      <w:kern w:val="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373C0"/>
    <w:pPr>
      <w:pBdr>
        <w:top w:val="single" w:sz="8" w:space="10" w:color="44546A" w:themeColor="text2"/>
        <w:bottom w:val="single" w:sz="8" w:space="10" w:color="44546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373C0"/>
    <w:rPr>
      <w:rFonts w:asciiTheme="majorHAnsi" w:eastAsiaTheme="majorEastAsia" w:hAnsiTheme="majorHAnsi" w:cstheme="majorBidi"/>
      <w:caps/>
      <w:color w:val="C45911" w:themeColor="accent2" w:themeShade="BF"/>
      <w:kern w:val="28"/>
      <w:sz w:val="104"/>
      <w:szCs w:val="56"/>
      <w:lang w:val="en-US" w:eastAsia="ja-JP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7373C0"/>
    <w:pPr>
      <w:numPr>
        <w:ilvl w:val="1"/>
      </w:numPr>
      <w:spacing w:before="200" w:after="0"/>
      <w:contextualSpacing/>
    </w:pPr>
    <w:rPr>
      <w:color w:val="C45911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7373C0"/>
    <w:rPr>
      <w:rFonts w:eastAsiaTheme="minorEastAsia"/>
      <w:color w:val="C45911" w:themeColor="accent2" w:themeShade="BF"/>
      <w:kern w:val="0"/>
      <w:sz w:val="52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3C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73C0"/>
    <w:rPr>
      <w:rFonts w:eastAsiaTheme="minorEastAsia"/>
      <w:kern w:val="0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7373C0"/>
    <w:pPr>
      <w:spacing w:after="0" w:line="240" w:lineRule="auto"/>
      <w:jc w:val="center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Tamilyn Mulvaney</dc:creator>
  <cp:keywords/>
  <dc:description/>
  <cp:lastModifiedBy>Tamilyn Mulvaney</cp:lastModifiedBy>
  <cp:revision>2</cp:revision>
  <dcterms:created xsi:type="dcterms:W3CDTF">2023-11-24T19:02:00Z</dcterms:created>
  <dcterms:modified xsi:type="dcterms:W3CDTF">2023-11-24T19:21:00Z</dcterms:modified>
</cp:coreProperties>
</file>