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1B8F5" w14:textId="7CBBA465" w:rsidR="00E863BA" w:rsidRPr="003350DA" w:rsidRDefault="003350DA" w:rsidP="003350DA">
      <w:pPr>
        <w:jc w:val="center"/>
        <w:rPr>
          <w:b/>
          <w:i/>
        </w:rPr>
      </w:pPr>
      <w:r w:rsidRPr="003350DA">
        <w:rPr>
          <w:b/>
          <w:i/>
        </w:rPr>
        <w:t xml:space="preserve">WURA Fall General Meeting – </w:t>
      </w:r>
      <w:r w:rsidR="0040799C">
        <w:rPr>
          <w:b/>
          <w:i/>
        </w:rPr>
        <w:t xml:space="preserve">Wednesday, </w:t>
      </w:r>
      <w:r w:rsidR="00157AB4">
        <w:rPr>
          <w:b/>
          <w:i/>
        </w:rPr>
        <w:t>November 2</w:t>
      </w:r>
      <w:r w:rsidR="006A10E5">
        <w:rPr>
          <w:b/>
          <w:i/>
        </w:rPr>
        <w:t>9, 2023</w:t>
      </w:r>
      <w:r w:rsidR="0040799C">
        <w:rPr>
          <w:b/>
          <w:i/>
        </w:rPr>
        <w:t xml:space="preserve"> </w:t>
      </w:r>
    </w:p>
    <w:p w14:paraId="36C1B8F6" w14:textId="77777777" w:rsidR="003350DA" w:rsidRDefault="003350DA"/>
    <w:p w14:paraId="5A055F26" w14:textId="60652CD9" w:rsidR="00C21557" w:rsidRPr="0077213A" w:rsidRDefault="007044ED" w:rsidP="007044ED">
      <w:pPr>
        <w:rPr>
          <w:b/>
          <w:bCs/>
        </w:rPr>
      </w:pPr>
      <w:r w:rsidRPr="0077213A">
        <w:rPr>
          <w:b/>
          <w:bCs/>
        </w:rPr>
        <w:t>PENSION REPORT:</w:t>
      </w:r>
    </w:p>
    <w:p w14:paraId="36C1B8FC" w14:textId="545047AC" w:rsidR="003350DA" w:rsidRDefault="00C17DAB" w:rsidP="00FA64BC">
      <w:pPr>
        <w:pStyle w:val="ListParagraph"/>
        <w:numPr>
          <w:ilvl w:val="0"/>
          <w:numId w:val="2"/>
        </w:numPr>
        <w:ind w:left="360"/>
      </w:pPr>
      <w:r>
        <w:t xml:space="preserve">As markets over the past plan year began some recovery, </w:t>
      </w:r>
      <w:r w:rsidR="00DA50B2">
        <w:t>o</w:t>
      </w:r>
      <w:r w:rsidR="003F0E21">
        <w:t>ur</w:t>
      </w:r>
      <w:r w:rsidR="004D0C06">
        <w:t xml:space="preserve"> Pens</w:t>
      </w:r>
      <w:r w:rsidR="003350DA">
        <w:t>ion Plan fund performance at June 30, 20</w:t>
      </w:r>
      <w:r w:rsidR="008E7AB9">
        <w:t>2</w:t>
      </w:r>
      <w:r w:rsidR="00DA50B2">
        <w:t xml:space="preserve">3 improved from a </w:t>
      </w:r>
      <w:r w:rsidR="003F0E21">
        <w:t xml:space="preserve">negative </w:t>
      </w:r>
      <w:r w:rsidR="00AD73AB">
        <w:t>return of -16.84%</w:t>
      </w:r>
      <w:r w:rsidR="00DA50B2">
        <w:t xml:space="preserve"> the prior year, to a positive return of 12.58%</w:t>
      </w:r>
      <w:r w:rsidR="0009342E">
        <w:t>.</w:t>
      </w:r>
    </w:p>
    <w:p w14:paraId="4870B767" w14:textId="77777777" w:rsidR="00A4766A" w:rsidRDefault="00A4766A" w:rsidP="00A4766A"/>
    <w:p w14:paraId="36C1B8FD" w14:textId="55B3DE67" w:rsidR="003350DA" w:rsidRDefault="001B28FC" w:rsidP="00A4766A">
      <w:pPr>
        <w:pStyle w:val="ListParagraph"/>
        <w:numPr>
          <w:ilvl w:val="0"/>
          <w:numId w:val="2"/>
        </w:numPr>
        <w:ind w:left="360"/>
      </w:pPr>
      <w:r>
        <w:t xml:space="preserve">As a result, the Faculty Retiree </w:t>
      </w:r>
      <w:r w:rsidR="00C15C60">
        <w:t xml:space="preserve">Money Purchase Component of </w:t>
      </w:r>
      <w:r w:rsidR="0021057F">
        <w:t>pensions</w:t>
      </w:r>
      <w:r>
        <w:t xml:space="preserve"> </w:t>
      </w:r>
      <w:r w:rsidR="00A4766A">
        <w:t>increased accordingly</w:t>
      </w:r>
      <w:r w:rsidR="00B920EA">
        <w:t xml:space="preserve">.  The actual increase is the </w:t>
      </w:r>
      <w:r w:rsidR="003A2743">
        <w:t>difference between the return and 6%, plus the mortality adjustment.</w:t>
      </w:r>
    </w:p>
    <w:p w14:paraId="36C1B8FE" w14:textId="77777777" w:rsidR="003350DA" w:rsidRDefault="003350DA" w:rsidP="003350DA">
      <w:pPr>
        <w:ind w:left="360"/>
      </w:pPr>
    </w:p>
    <w:p w14:paraId="36C1B8FF" w14:textId="6DF6E7D1" w:rsidR="003350DA" w:rsidRDefault="00B84A6E" w:rsidP="003350DA">
      <w:pPr>
        <w:pStyle w:val="ListParagraph"/>
        <w:numPr>
          <w:ilvl w:val="1"/>
          <w:numId w:val="2"/>
        </w:numPr>
      </w:pPr>
      <w:r>
        <w:t>Pre-July 1</w:t>
      </w:r>
      <w:r w:rsidR="003350DA">
        <w:t>, 2004</w:t>
      </w:r>
      <w:r>
        <w:t>,</w:t>
      </w:r>
      <w:r w:rsidR="003350DA">
        <w:t xml:space="preserve"> </w:t>
      </w:r>
      <w:r w:rsidR="0094133C">
        <w:t>MPP pension</w:t>
      </w:r>
      <w:r w:rsidR="00AB5590">
        <w:t>s</w:t>
      </w:r>
      <w:r w:rsidR="0094133C">
        <w:t xml:space="preserve"> </w:t>
      </w:r>
      <w:r w:rsidR="00B920EA">
        <w:t>increased by 3.50%</w:t>
      </w:r>
      <w:r w:rsidR="000D23A0">
        <w:t xml:space="preserve"> </w:t>
      </w:r>
      <w:r w:rsidR="00CB2FFB">
        <w:t>(</w:t>
      </w:r>
      <w:r w:rsidR="00B920EA">
        <w:t>12.58</w:t>
      </w:r>
      <w:r w:rsidR="00CB2FFB">
        <w:t xml:space="preserve">% - 6% - </w:t>
      </w:r>
      <w:r w:rsidR="00C74F21">
        <w:t>3.</w:t>
      </w:r>
      <w:r w:rsidR="00E62626">
        <w:t>08</w:t>
      </w:r>
      <w:r w:rsidR="00CB2FFB">
        <w:t>%)</w:t>
      </w:r>
      <w:r w:rsidR="00C47E41">
        <w:t xml:space="preserve">. </w:t>
      </w:r>
    </w:p>
    <w:p w14:paraId="36C1B900" w14:textId="77777777" w:rsidR="003350DA" w:rsidRDefault="003350DA" w:rsidP="003350DA">
      <w:pPr>
        <w:ind w:left="1080"/>
      </w:pPr>
    </w:p>
    <w:p w14:paraId="2DB45AA0" w14:textId="7D9962D6" w:rsidR="0033005E" w:rsidRDefault="003350DA" w:rsidP="003350DA">
      <w:pPr>
        <w:pStyle w:val="ListParagraph"/>
        <w:numPr>
          <w:ilvl w:val="1"/>
          <w:numId w:val="2"/>
        </w:numPr>
      </w:pPr>
      <w:r>
        <w:t xml:space="preserve">Post July 1, </w:t>
      </w:r>
      <w:r w:rsidR="00B84A6E">
        <w:t>2004,</w:t>
      </w:r>
      <w:r>
        <w:t xml:space="preserve"> MPP</w:t>
      </w:r>
      <w:r w:rsidR="00AB5590">
        <w:t xml:space="preserve"> pensions </w:t>
      </w:r>
      <w:r w:rsidR="00A57211">
        <w:t xml:space="preserve">increased by </w:t>
      </w:r>
      <w:r w:rsidR="00F35A81">
        <w:t xml:space="preserve">5.62% </w:t>
      </w:r>
      <w:r w:rsidR="000258BA">
        <w:t>(</w:t>
      </w:r>
      <w:r w:rsidR="00F35A81">
        <w:t>12.58</w:t>
      </w:r>
      <w:r w:rsidR="00760441">
        <w:t xml:space="preserve">% - 6% </w:t>
      </w:r>
      <w:r w:rsidR="00C62C09">
        <w:t>-</w:t>
      </w:r>
      <w:r w:rsidR="00267CFF">
        <w:t xml:space="preserve"> 0.9</w:t>
      </w:r>
      <w:r w:rsidR="00F35A81">
        <w:t>6</w:t>
      </w:r>
      <w:r w:rsidR="0033005E">
        <w:t>%)</w:t>
      </w:r>
    </w:p>
    <w:p w14:paraId="7B057F5E" w14:textId="77777777" w:rsidR="0033005E" w:rsidRDefault="0033005E" w:rsidP="0033005E">
      <w:pPr>
        <w:pStyle w:val="ListParagraph"/>
      </w:pPr>
    </w:p>
    <w:p w14:paraId="36C1B901" w14:textId="2418CA62" w:rsidR="003350DA" w:rsidRDefault="00A503C9" w:rsidP="00A503C9">
      <w:pPr>
        <w:ind w:left="1080"/>
      </w:pPr>
      <w:r w:rsidRPr="00A503C9">
        <w:rPr>
          <w:u w:val="single"/>
        </w:rPr>
        <w:t>Note:</w:t>
      </w:r>
      <w:r w:rsidR="00883EC2">
        <w:t xml:space="preserve"> the differ</w:t>
      </w:r>
      <w:r w:rsidR="003350DA">
        <w:t xml:space="preserve">ence </w:t>
      </w:r>
      <w:r w:rsidR="00883EC2">
        <w:t xml:space="preserve">between the pre and post 2004 groups </w:t>
      </w:r>
      <w:r w:rsidR="003350DA">
        <w:t>is directly related to the mortality experience of each group</w:t>
      </w:r>
      <w:r w:rsidR="008C2697">
        <w:t>.</w:t>
      </w:r>
    </w:p>
    <w:p w14:paraId="36C1B902" w14:textId="77777777" w:rsidR="003350DA" w:rsidRDefault="003350DA" w:rsidP="003350DA">
      <w:pPr>
        <w:pStyle w:val="ListParagraph"/>
      </w:pPr>
    </w:p>
    <w:p w14:paraId="36C1B903" w14:textId="496CEAA9" w:rsidR="003350DA" w:rsidRDefault="003350DA" w:rsidP="003350DA">
      <w:pPr>
        <w:pStyle w:val="ListParagraph"/>
        <w:numPr>
          <w:ilvl w:val="1"/>
          <w:numId w:val="2"/>
        </w:numPr>
      </w:pPr>
      <w:r>
        <w:t xml:space="preserve">MGB indexing adjustment of </w:t>
      </w:r>
      <w:r w:rsidR="00A1636B">
        <w:t>2.</w:t>
      </w:r>
      <w:r w:rsidR="00A601AB">
        <w:t>80</w:t>
      </w:r>
      <w:r w:rsidR="00A1636B">
        <w:t>%</w:t>
      </w:r>
      <w:r>
        <w:t xml:space="preserve"> </w:t>
      </w:r>
    </w:p>
    <w:p w14:paraId="36C1B904" w14:textId="6F291AB5" w:rsidR="003350DA" w:rsidRDefault="00AD2759" w:rsidP="003350DA">
      <w:pPr>
        <w:ind w:left="1440"/>
      </w:pPr>
      <w:r>
        <w:t>We saw a</w:t>
      </w:r>
      <w:r w:rsidR="008738A0">
        <w:t>nother</w:t>
      </w:r>
      <w:r>
        <w:t xml:space="preserve"> large increase in the CPI at June 30, 202</w:t>
      </w:r>
      <w:r w:rsidR="00A601AB">
        <w:t>3</w:t>
      </w:r>
      <w:r w:rsidR="008738A0">
        <w:t xml:space="preserve"> </w:t>
      </w:r>
      <w:r w:rsidR="0053673F">
        <w:t>whi</w:t>
      </w:r>
      <w:r>
        <w:t xml:space="preserve">ch </w:t>
      </w:r>
      <w:r w:rsidR="00DB3261">
        <w:t>resulted in an increase of 2.</w:t>
      </w:r>
      <w:r w:rsidR="00A601AB">
        <w:t>80</w:t>
      </w:r>
      <w:r w:rsidR="00DB3261">
        <w:t xml:space="preserve">% to </w:t>
      </w:r>
      <w:r w:rsidR="00AB6C3F">
        <w:t>the Minimum Guaranteed Component</w:t>
      </w:r>
      <w:r w:rsidR="00AB6C3F">
        <w:br/>
      </w:r>
      <w:r w:rsidR="00A1636B">
        <w:t>(</w:t>
      </w:r>
      <w:r w:rsidR="003350DA">
        <w:t xml:space="preserve">CPI increase was </w:t>
      </w:r>
      <w:r w:rsidR="00E941A8">
        <w:t>5.5</w:t>
      </w:r>
      <w:r w:rsidR="0053673F">
        <w:t>9</w:t>
      </w:r>
      <w:r w:rsidR="00E941A8">
        <w:t>%</w:t>
      </w:r>
      <w:r w:rsidR="002379F7">
        <w:t>, therefore</w:t>
      </w:r>
      <w:r w:rsidR="005B3A12">
        <w:t xml:space="preserve"> the Plan provides that if the CPI increase is between 4% and 8%, the MGB indexing is 50% of the CPI increase</w:t>
      </w:r>
      <w:r w:rsidR="003350DA">
        <w:t>)</w:t>
      </w:r>
    </w:p>
    <w:p w14:paraId="36C1B905" w14:textId="77777777" w:rsidR="003350DA" w:rsidRDefault="003350DA"/>
    <w:p w14:paraId="36C1B906" w14:textId="77777777" w:rsidR="003350DA" w:rsidRDefault="00D13439" w:rsidP="00D13439">
      <w:pPr>
        <w:pStyle w:val="ListParagraph"/>
        <w:numPr>
          <w:ilvl w:val="0"/>
          <w:numId w:val="2"/>
        </w:numPr>
      </w:pPr>
      <w:r>
        <w:t>Retiree demographics over the past year</w:t>
      </w:r>
    </w:p>
    <w:p w14:paraId="36C1B907" w14:textId="55F10609" w:rsidR="00D13439" w:rsidRDefault="00D13439" w:rsidP="00D13439">
      <w:pPr>
        <w:pStyle w:val="ListParagraph"/>
        <w:numPr>
          <w:ilvl w:val="1"/>
          <w:numId w:val="2"/>
        </w:numPr>
      </w:pPr>
      <w:r>
        <w:t>At June 30, 20</w:t>
      </w:r>
      <w:r w:rsidR="007341B3">
        <w:t>2</w:t>
      </w:r>
      <w:r w:rsidR="0053673F">
        <w:t>3</w:t>
      </w:r>
      <w:r>
        <w:t xml:space="preserve"> there were </w:t>
      </w:r>
      <w:r w:rsidR="000D23A0">
        <w:t>4</w:t>
      </w:r>
      <w:r w:rsidR="002662CD">
        <w:t>9</w:t>
      </w:r>
      <w:r w:rsidR="00880A96">
        <w:t>9</w:t>
      </w:r>
      <w:r>
        <w:t xml:space="preserve"> </w:t>
      </w:r>
      <w:r w:rsidR="000B1818">
        <w:t>persons in receipt of a monthly pension</w:t>
      </w:r>
      <w:r w:rsidR="000D23A0">
        <w:t>.</w:t>
      </w:r>
    </w:p>
    <w:p w14:paraId="36C1B908" w14:textId="6B5E539A" w:rsidR="00D13439" w:rsidRDefault="00151BCB" w:rsidP="00D13439">
      <w:pPr>
        <w:pStyle w:val="ListParagraph"/>
        <w:numPr>
          <w:ilvl w:val="1"/>
          <w:numId w:val="2"/>
        </w:numPr>
      </w:pPr>
      <w:r>
        <w:t>66</w:t>
      </w:r>
      <w:r w:rsidR="00D13439">
        <w:t xml:space="preserve"> </w:t>
      </w:r>
      <w:r w:rsidR="00AB5590">
        <w:t>pensioners</w:t>
      </w:r>
      <w:r w:rsidR="00D13439">
        <w:t xml:space="preserve"> with no MGB subsidy</w:t>
      </w:r>
      <w:r w:rsidR="00CA4169">
        <w:t xml:space="preserve"> required </w:t>
      </w:r>
      <w:r w:rsidR="00D13439">
        <w:t>and</w:t>
      </w:r>
      <w:r w:rsidR="00F840F6">
        <w:t xml:space="preserve"> </w:t>
      </w:r>
      <w:r>
        <w:t>433</w:t>
      </w:r>
      <w:r w:rsidR="00D13439">
        <w:t xml:space="preserve"> requiring a </w:t>
      </w:r>
      <w:r w:rsidR="00B84A6E">
        <w:t>subsidy:</w:t>
      </w:r>
      <w:r w:rsidR="00CA4169">
        <w:t xml:space="preserve"> </w:t>
      </w:r>
      <w:r w:rsidR="00BC3BB1">
        <w:t>12.42</w:t>
      </w:r>
      <w:r w:rsidR="00CA4169">
        <w:t>%</w:t>
      </w:r>
      <w:r w:rsidR="00B15BA9">
        <w:t xml:space="preserve"> &amp; </w:t>
      </w:r>
      <w:r w:rsidR="00A809A8">
        <w:t>87.58</w:t>
      </w:r>
      <w:r w:rsidR="00B15BA9">
        <w:t>%</w:t>
      </w:r>
    </w:p>
    <w:p w14:paraId="36C1B909" w14:textId="52635861" w:rsidR="00D13439" w:rsidRDefault="00D13439" w:rsidP="00D13439">
      <w:pPr>
        <w:pStyle w:val="ListParagraph"/>
        <w:numPr>
          <w:ilvl w:val="1"/>
          <w:numId w:val="2"/>
        </w:numPr>
      </w:pPr>
      <w:r>
        <w:t xml:space="preserve">After running the indexing process and picking up new July 1, </w:t>
      </w:r>
      <w:r w:rsidR="00B84A6E">
        <w:t>2023,</w:t>
      </w:r>
      <w:r>
        <w:t xml:space="preserve"> retirees</w:t>
      </w:r>
      <w:r w:rsidR="002068C2">
        <w:t xml:space="preserve"> (</w:t>
      </w:r>
      <w:r w:rsidR="00A809A8">
        <w:t>10)</w:t>
      </w:r>
      <w:r>
        <w:t xml:space="preserve"> </w:t>
      </w:r>
      <w:r w:rsidR="000B1818">
        <w:t xml:space="preserve">we had </w:t>
      </w:r>
      <w:r w:rsidR="002B77FC">
        <w:t>68</w:t>
      </w:r>
      <w:r>
        <w:t xml:space="preserve"> </w:t>
      </w:r>
      <w:r w:rsidR="00AB5590">
        <w:t>pensioners</w:t>
      </w:r>
      <w:r>
        <w:t xml:space="preserve"> w</w:t>
      </w:r>
      <w:r w:rsidR="000B1818">
        <w:t xml:space="preserve">ith an </w:t>
      </w:r>
      <w:r>
        <w:t xml:space="preserve">MPP </w:t>
      </w:r>
      <w:r w:rsidR="000B1818">
        <w:t xml:space="preserve">that exceeded their </w:t>
      </w:r>
      <w:r>
        <w:t xml:space="preserve">MGB number, and </w:t>
      </w:r>
      <w:r w:rsidR="002B77FC">
        <w:t>441</w:t>
      </w:r>
      <w:r>
        <w:t xml:space="preserve"> retirees who</w:t>
      </w:r>
      <w:r w:rsidR="000B7FD5">
        <w:t xml:space="preserve"> qualif</w:t>
      </w:r>
      <w:r w:rsidR="001E6836">
        <w:t xml:space="preserve">ied </w:t>
      </w:r>
      <w:r w:rsidR="000B7FD5">
        <w:t>for s</w:t>
      </w:r>
      <w:r w:rsidR="00C53FD4">
        <w:t>ubsidy</w:t>
      </w:r>
      <w:r w:rsidR="00E551BD">
        <w:t xml:space="preserve">, for a total of </w:t>
      </w:r>
      <w:r w:rsidR="00F36E2C">
        <w:t>509</w:t>
      </w:r>
      <w:r w:rsidR="00C53FD4">
        <w:t>.</w:t>
      </w:r>
      <w:r w:rsidR="002068C2">
        <w:t xml:space="preserve">  </w:t>
      </w:r>
      <w:r w:rsidR="00F36E2C">
        <w:t>13.36</w:t>
      </w:r>
      <w:r w:rsidR="000D23A0">
        <w:t>%</w:t>
      </w:r>
      <w:r w:rsidR="002068C2">
        <w:t xml:space="preserve"> &amp; </w:t>
      </w:r>
      <w:r w:rsidR="00597B68">
        <w:t>8</w:t>
      </w:r>
      <w:r w:rsidR="00F36E2C">
        <w:t>6.64</w:t>
      </w:r>
      <w:r w:rsidR="000D23A0">
        <w:t>%</w:t>
      </w:r>
      <w:r w:rsidR="00AA49D9">
        <w:t>.</w:t>
      </w:r>
    </w:p>
    <w:p w14:paraId="32FD2288" w14:textId="05966E2C" w:rsidR="00AA49D9" w:rsidRDefault="00AA49D9" w:rsidP="00D13439">
      <w:pPr>
        <w:pStyle w:val="ListParagraph"/>
        <w:numPr>
          <w:ilvl w:val="1"/>
          <w:numId w:val="2"/>
        </w:numPr>
      </w:pPr>
      <w:r>
        <w:t xml:space="preserve">While this shows a slight improvement in MP pensions, </w:t>
      </w:r>
      <w:r w:rsidR="00983AA0">
        <w:t>pensions are still impacted by the large negative fund return loss of -16.84% in the 2021 / 2022 plan year.</w:t>
      </w:r>
    </w:p>
    <w:p w14:paraId="36C1B90A" w14:textId="0E6BB615" w:rsidR="003B6DEA" w:rsidRDefault="003B6DEA" w:rsidP="00D13439">
      <w:pPr>
        <w:pStyle w:val="ListParagraph"/>
        <w:numPr>
          <w:ilvl w:val="1"/>
          <w:numId w:val="2"/>
        </w:numPr>
      </w:pPr>
      <w:r>
        <w:t>In the 20</w:t>
      </w:r>
      <w:r w:rsidR="00742C4D">
        <w:t>2</w:t>
      </w:r>
      <w:r w:rsidR="00F36E2C">
        <w:t>2/2023</w:t>
      </w:r>
      <w:r>
        <w:t xml:space="preserve"> year there were </w:t>
      </w:r>
      <w:r w:rsidR="00D1227D">
        <w:t>1</w:t>
      </w:r>
      <w:r w:rsidR="004D2460">
        <w:t>8</w:t>
      </w:r>
      <w:r>
        <w:t xml:space="preserve"> retirements, </w:t>
      </w:r>
      <w:r w:rsidR="00383039">
        <w:t xml:space="preserve">compared to </w:t>
      </w:r>
      <w:r w:rsidR="002B250E">
        <w:t>1</w:t>
      </w:r>
      <w:r w:rsidR="00F36E2C">
        <w:t>5</w:t>
      </w:r>
      <w:r>
        <w:t xml:space="preserve"> in the prior year</w:t>
      </w:r>
      <w:r w:rsidR="00383039">
        <w:t>.</w:t>
      </w:r>
    </w:p>
    <w:p w14:paraId="36C1B90B" w14:textId="77777777" w:rsidR="00C53FD4" w:rsidRDefault="00C53FD4" w:rsidP="00C53FD4">
      <w:pPr>
        <w:ind w:left="1080"/>
      </w:pPr>
    </w:p>
    <w:p w14:paraId="36C1B90C" w14:textId="4D07FE92" w:rsidR="00C53FD4" w:rsidRDefault="00C53FD4" w:rsidP="00C53FD4">
      <w:pPr>
        <w:pStyle w:val="ListParagraph"/>
        <w:numPr>
          <w:ilvl w:val="0"/>
          <w:numId w:val="2"/>
        </w:numPr>
      </w:pPr>
      <w:r>
        <w:t xml:space="preserve">The Annual Open Pension Meeting </w:t>
      </w:r>
      <w:r w:rsidR="002068C2">
        <w:t>w</w:t>
      </w:r>
      <w:r w:rsidR="000D23A0">
        <w:t>as held</w:t>
      </w:r>
      <w:r w:rsidR="0000309B">
        <w:t xml:space="preserve"> on </w:t>
      </w:r>
      <w:r w:rsidR="00F92AF2">
        <w:t>November 1</w:t>
      </w:r>
      <w:r w:rsidR="00057F8E">
        <w:t xml:space="preserve">4, </w:t>
      </w:r>
      <w:r w:rsidR="00B84A6E">
        <w:t>2023,</w:t>
      </w:r>
      <w:r w:rsidR="00F92AF2">
        <w:t xml:space="preserve"> both in person </w:t>
      </w:r>
      <w:r w:rsidR="00BE1FB9">
        <w:t xml:space="preserve">as well as through MS Teams for those who live outside the area.  </w:t>
      </w:r>
      <w:r w:rsidR="00EC5926">
        <w:t xml:space="preserve">The </w:t>
      </w:r>
      <w:r w:rsidR="0071406C">
        <w:t xml:space="preserve">presentation video </w:t>
      </w:r>
      <w:r w:rsidR="00D5438E">
        <w:t xml:space="preserve">is now posted </w:t>
      </w:r>
      <w:r w:rsidR="0071406C">
        <w:t>on the Pensions website</w:t>
      </w:r>
      <w:r w:rsidR="0069389A">
        <w:t xml:space="preserve">. </w:t>
      </w:r>
      <w:r w:rsidR="00F064B2">
        <w:t xml:space="preserve">The </w:t>
      </w:r>
      <w:r w:rsidR="0069389A">
        <w:t xml:space="preserve">hardcopy </w:t>
      </w:r>
      <w:r w:rsidR="00F064B2">
        <w:t xml:space="preserve">presentation can be found at:  </w:t>
      </w:r>
      <w:hyperlink r:id="rId5" w:history="1">
        <w:r w:rsidR="00F064B2">
          <w:rPr>
            <w:rStyle w:val="Hyperlink"/>
          </w:rPr>
          <w:t>http://www1.uwindsor.ca/pensions/facultyemployee-plan-open-pension-meetings</w:t>
        </w:r>
      </w:hyperlink>
      <w:r w:rsidR="002068C2">
        <w:rPr>
          <w:rStyle w:val="Hyperlink"/>
        </w:rPr>
        <w:t>.</w:t>
      </w:r>
    </w:p>
    <w:p w14:paraId="36C1B90D" w14:textId="77777777" w:rsidR="00C53FD4" w:rsidRDefault="00C53FD4" w:rsidP="00C53FD4">
      <w:pPr>
        <w:pStyle w:val="ListParagraph"/>
      </w:pPr>
    </w:p>
    <w:p w14:paraId="36C1B90E" w14:textId="592CEE2C" w:rsidR="00F064B2" w:rsidRDefault="002068C2" w:rsidP="007044ED">
      <w:pPr>
        <w:pStyle w:val="ListParagraph"/>
        <w:numPr>
          <w:ilvl w:val="0"/>
          <w:numId w:val="2"/>
        </w:numPr>
        <w:tabs>
          <w:tab w:val="left" w:pos="360"/>
        </w:tabs>
      </w:pPr>
      <w:r>
        <w:t>As of September 30, 20</w:t>
      </w:r>
      <w:r w:rsidR="0048122D">
        <w:t>2</w:t>
      </w:r>
      <w:r w:rsidR="00057F8E">
        <w:t>3</w:t>
      </w:r>
      <w:r>
        <w:t xml:space="preserve"> the one year Pension Fund Return </w:t>
      </w:r>
      <w:r w:rsidRPr="00EC5926">
        <w:t>was</w:t>
      </w:r>
      <w:r w:rsidR="003B1301" w:rsidRPr="00EC5926">
        <w:t xml:space="preserve"> </w:t>
      </w:r>
      <w:r w:rsidR="00F82EAA">
        <w:t>5.71</w:t>
      </w:r>
      <w:r w:rsidR="00E551BD" w:rsidRPr="00EC5926">
        <w:t>%</w:t>
      </w:r>
    </w:p>
    <w:p w14:paraId="0748CF42" w14:textId="77777777" w:rsidR="007044ED" w:rsidRDefault="007044ED" w:rsidP="007044ED">
      <w:pPr>
        <w:pStyle w:val="ListParagraph"/>
      </w:pPr>
    </w:p>
    <w:p w14:paraId="709D2F4F" w14:textId="5C146EA7" w:rsidR="007044ED" w:rsidRDefault="007044ED" w:rsidP="007044ED">
      <w:pPr>
        <w:pStyle w:val="ListParagraph"/>
        <w:numPr>
          <w:ilvl w:val="0"/>
          <w:numId w:val="2"/>
        </w:numPr>
        <w:tabs>
          <w:tab w:val="left" w:pos="360"/>
        </w:tabs>
      </w:pPr>
      <w:r>
        <w:t xml:space="preserve">The University and the D2 Committee have been meeting to </w:t>
      </w:r>
      <w:r w:rsidR="005F2669">
        <w:t xml:space="preserve">explore and </w:t>
      </w:r>
      <w:r>
        <w:t xml:space="preserve">learn more about the </w:t>
      </w:r>
      <w:r w:rsidR="005F2669">
        <w:t xml:space="preserve">new </w:t>
      </w:r>
      <w:r>
        <w:t>University</w:t>
      </w:r>
      <w:r w:rsidR="00C15C6C">
        <w:t xml:space="preserve"> Pension Plan of </w:t>
      </w:r>
      <w:r w:rsidR="00455E57">
        <w:t>Ontario</w:t>
      </w:r>
      <w:r w:rsidR="00FC4BB6">
        <w:t xml:space="preserve">.  </w:t>
      </w:r>
      <w:r w:rsidR="00C15C6C">
        <w:t xml:space="preserve"> U</w:t>
      </w:r>
      <w:r w:rsidR="00455E57">
        <w:t xml:space="preserve"> </w:t>
      </w:r>
      <w:r w:rsidR="00C15C6C">
        <w:t>of</w:t>
      </w:r>
      <w:r w:rsidR="00455E57">
        <w:t xml:space="preserve"> </w:t>
      </w:r>
      <w:r w:rsidR="00C15C6C">
        <w:t>T, Guelp</w:t>
      </w:r>
      <w:r w:rsidR="005F2669">
        <w:t>h</w:t>
      </w:r>
      <w:r w:rsidR="00C15C6C">
        <w:t xml:space="preserve">, Queens and Trent are now </w:t>
      </w:r>
      <w:r w:rsidR="00ED01E1">
        <w:t>participating universities. Dr. Stebelsky is part of the committee</w:t>
      </w:r>
      <w:r w:rsidR="0077213A">
        <w:t xml:space="preserve"> and has been active in his questions and </w:t>
      </w:r>
      <w:r w:rsidR="00FC4BB6">
        <w:t xml:space="preserve">representation </w:t>
      </w:r>
      <w:r w:rsidR="0077213A">
        <w:t>on behalf of the faculty retirees.</w:t>
      </w:r>
      <w:r w:rsidR="00FC4BB6">
        <w:t xml:space="preserve"> </w:t>
      </w:r>
    </w:p>
    <w:p w14:paraId="49E8E82D" w14:textId="77777777" w:rsidR="00420795" w:rsidRDefault="00420795" w:rsidP="00420795">
      <w:pPr>
        <w:pStyle w:val="ListParagraph"/>
      </w:pPr>
    </w:p>
    <w:p w14:paraId="594F1517" w14:textId="580ACB84" w:rsidR="00420795" w:rsidRDefault="00420795" w:rsidP="007044ED">
      <w:pPr>
        <w:pStyle w:val="ListParagraph"/>
        <w:numPr>
          <w:ilvl w:val="0"/>
          <w:numId w:val="2"/>
        </w:numPr>
        <w:tabs>
          <w:tab w:val="left" w:pos="360"/>
        </w:tabs>
      </w:pPr>
      <w:r>
        <w:t xml:space="preserve">Over the past year, my area, with </w:t>
      </w:r>
      <w:r w:rsidR="00B7171A">
        <w:t xml:space="preserve">wonderful </w:t>
      </w:r>
      <w:r>
        <w:t>support from finance (Rachel McRae</w:t>
      </w:r>
      <w:r w:rsidR="00A32EBC">
        <w:t xml:space="preserve">) and legal (William Ma) embarked on a large project to update and restate both the Employees Retirement Plan Text </w:t>
      </w:r>
      <w:r w:rsidR="00A20D49">
        <w:t xml:space="preserve">(ERP) </w:t>
      </w:r>
      <w:r w:rsidR="00A32EBC">
        <w:t>and the Faculty Plan Text</w:t>
      </w:r>
      <w:r w:rsidR="00A20D49">
        <w:t xml:space="preserve"> (FCO)</w:t>
      </w:r>
      <w:r w:rsidR="00A32EBC">
        <w:t xml:space="preserve">.  </w:t>
      </w:r>
      <w:r w:rsidR="00A20D49">
        <w:t>We are almost through ERP and have begun work on FCO</w:t>
      </w:r>
      <w:r w:rsidR="006E1935">
        <w:t xml:space="preserve">. The work is done using a Phase I, II and restatement </w:t>
      </w:r>
      <w:r w:rsidR="00B7171A">
        <w:t xml:space="preserve">approach </w:t>
      </w:r>
      <w:r w:rsidR="006E1935">
        <w:t>and will result in completely updated Plan texts</w:t>
      </w:r>
      <w:r w:rsidR="00B7171A">
        <w:t xml:space="preserve"> by next Fall 2024.  The last time the Plan Texts were updated was in 2003/2004.</w:t>
      </w:r>
    </w:p>
    <w:p w14:paraId="47F38409" w14:textId="77777777" w:rsidR="000A610E" w:rsidRDefault="000A610E" w:rsidP="000A610E">
      <w:pPr>
        <w:pStyle w:val="ListParagraph"/>
      </w:pPr>
    </w:p>
    <w:p w14:paraId="7BDC27E5" w14:textId="77777777" w:rsidR="000A610E" w:rsidRDefault="000A610E" w:rsidP="000A610E">
      <w:pPr>
        <w:tabs>
          <w:tab w:val="left" w:pos="360"/>
        </w:tabs>
      </w:pPr>
    </w:p>
    <w:p w14:paraId="333E3E8E" w14:textId="77777777" w:rsidR="000A610E" w:rsidRDefault="000A610E" w:rsidP="000A610E">
      <w:pPr>
        <w:tabs>
          <w:tab w:val="left" w:pos="360"/>
        </w:tabs>
      </w:pPr>
    </w:p>
    <w:p w14:paraId="1BB9911F" w14:textId="60564BFE" w:rsidR="009B2400" w:rsidRPr="001B17FC" w:rsidRDefault="000A610E" w:rsidP="00F064B2">
      <w:pPr>
        <w:tabs>
          <w:tab w:val="left" w:pos="7185"/>
        </w:tabs>
        <w:rPr>
          <w:b/>
          <w:bCs/>
        </w:rPr>
      </w:pPr>
      <w:r>
        <w:rPr>
          <w:b/>
          <w:bCs/>
        </w:rPr>
        <w:lastRenderedPageBreak/>
        <w:t>BENEFITS REPORT:</w:t>
      </w:r>
    </w:p>
    <w:p w14:paraId="36C1B914" w14:textId="53EF8469" w:rsidR="00C53FD4" w:rsidRDefault="00144592" w:rsidP="00C53FD4">
      <w:r>
        <w:t xml:space="preserve">As a reminder for those retirees who may be planning to travel outside of Ontario in the coming months, </w:t>
      </w:r>
      <w:r w:rsidR="00DB284D">
        <w:t xml:space="preserve">as was communicated in a memo on August 4, </w:t>
      </w:r>
      <w:r w:rsidR="00B84A6E">
        <w:t>2023,</w:t>
      </w:r>
      <w:r w:rsidR="00DB284D">
        <w:t xml:space="preserve"> and included </w:t>
      </w:r>
      <w:r w:rsidR="00854F2C">
        <w:t xml:space="preserve">with </w:t>
      </w:r>
      <w:r w:rsidR="00DB284D">
        <w:t>your annual retiree indexing</w:t>
      </w:r>
      <w:r w:rsidR="00854F2C">
        <w:t xml:space="preserve"> letter, Green Shiel</w:t>
      </w:r>
      <w:r w:rsidR="008C3978">
        <w:t>d selected a new provider CanAssistance</w:t>
      </w:r>
      <w:r w:rsidR="00974DD8">
        <w:t xml:space="preserve"> effective June 1, 2023.  Green Shield has assured us that the changeover w</w:t>
      </w:r>
      <w:r w:rsidR="00C8401F">
        <w:t>ill</w:t>
      </w:r>
      <w:r w:rsidR="00974DD8">
        <w:t xml:space="preserve"> be seamless</w:t>
      </w:r>
      <w:r w:rsidR="00E76474">
        <w:t xml:space="preserve">, with no change to our existing travel benefits.  Your GS Subscriber ID Cards remain unchanged and the telephone number on the back of our cards is also unchanged.  </w:t>
      </w:r>
    </w:p>
    <w:p w14:paraId="4656C8E5" w14:textId="77777777" w:rsidR="00A97C17" w:rsidRDefault="00A97C17" w:rsidP="00C53FD4"/>
    <w:p w14:paraId="00520097" w14:textId="77A71C5C" w:rsidR="00A97C17" w:rsidRDefault="009E37BB" w:rsidP="00C53FD4">
      <w:r>
        <w:t>We did want to make you aware that following the resumption of health and dental services post-COVID</w:t>
      </w:r>
      <w:r w:rsidR="00C30E6E">
        <w:t xml:space="preserve">, we </w:t>
      </w:r>
      <w:r w:rsidR="003B44A5">
        <w:t xml:space="preserve">are seeing </w:t>
      </w:r>
      <w:r w:rsidR="00C30E6E">
        <w:t>a very large increase in</w:t>
      </w:r>
      <w:r w:rsidR="003B44A5">
        <w:t xml:space="preserve"> both</w:t>
      </w:r>
      <w:r w:rsidR="00C30E6E">
        <w:t xml:space="preserve"> </w:t>
      </w:r>
      <w:r w:rsidR="00B84A6E">
        <w:t>claims’</w:t>
      </w:r>
      <w:r w:rsidR="00C30E6E">
        <w:t xml:space="preserve"> utilization and in the fees the providers are charging for their services</w:t>
      </w:r>
      <w:r w:rsidR="00C8401F">
        <w:t>, both of which are concerning</w:t>
      </w:r>
      <w:r w:rsidR="00C30E6E">
        <w:t xml:space="preserve">.  </w:t>
      </w:r>
      <w:r w:rsidR="00C8401F">
        <w:t>As an example, t</w:t>
      </w:r>
      <w:r w:rsidR="00A7775A">
        <w:t xml:space="preserve">he 2023 Ontario Dental Fee guide saw increases of 8.50% compared to increases of </w:t>
      </w:r>
      <w:r w:rsidR="005E04F9">
        <w:t xml:space="preserve">4.75% in 2022, </w:t>
      </w:r>
      <w:r w:rsidR="003B44A5">
        <w:t>4.6% in 2021 and 1.27% in 2020.</w:t>
      </w:r>
      <w:r w:rsidR="00B34491">
        <w:t xml:space="preserve">  </w:t>
      </w:r>
      <w:r w:rsidR="00320760">
        <w:t xml:space="preserve">As such, we are preparing for significant premium increases for the upcoming new Plan year which will take affect for May 1, 2024.  </w:t>
      </w:r>
    </w:p>
    <w:p w14:paraId="066ABB51" w14:textId="77777777" w:rsidR="003B44A5" w:rsidRDefault="003B44A5" w:rsidP="00C53FD4"/>
    <w:p w14:paraId="7558923D" w14:textId="0EFA61B3" w:rsidR="005E0635" w:rsidRPr="008A6447" w:rsidRDefault="005E0635" w:rsidP="00C53FD4">
      <w:pPr>
        <w:rPr>
          <w:b/>
          <w:bCs/>
        </w:rPr>
      </w:pPr>
      <w:r w:rsidRPr="008A6447">
        <w:rPr>
          <w:b/>
          <w:bCs/>
        </w:rPr>
        <w:t>Current Faculty Retiree GS Premiums:</w:t>
      </w:r>
    </w:p>
    <w:p w14:paraId="5347E9E0" w14:textId="3D772A63" w:rsidR="005E0635" w:rsidRDefault="00B01280" w:rsidP="00C53FD4">
      <w:r w:rsidRPr="00B01280">
        <w:rPr>
          <w:noProof/>
        </w:rPr>
        <w:drawing>
          <wp:inline distT="0" distB="0" distL="0" distR="0" wp14:anchorId="3FDDA0D9" wp14:editId="50858B83">
            <wp:extent cx="6287458" cy="2734310"/>
            <wp:effectExtent l="0" t="0" r="0" b="8890"/>
            <wp:docPr id="71305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7781" cy="2734450"/>
                    </a:xfrm>
                    <a:prstGeom prst="rect">
                      <a:avLst/>
                    </a:prstGeom>
                    <a:noFill/>
                    <a:ln>
                      <a:noFill/>
                    </a:ln>
                  </pic:spPr>
                </pic:pic>
              </a:graphicData>
            </a:graphic>
          </wp:inline>
        </w:drawing>
      </w:r>
    </w:p>
    <w:p w14:paraId="5AAB20DA" w14:textId="610CD4AD" w:rsidR="000A610E" w:rsidRPr="00F65CB9" w:rsidRDefault="000A610E" w:rsidP="00C53FD4">
      <w:pPr>
        <w:rPr>
          <w:b/>
          <w:bCs/>
        </w:rPr>
      </w:pPr>
      <w:r w:rsidRPr="00F65CB9">
        <w:rPr>
          <w:b/>
          <w:bCs/>
        </w:rPr>
        <w:t>RETIREE HEALTH CARE SUBSIDY:</w:t>
      </w:r>
    </w:p>
    <w:p w14:paraId="2ECD3D80" w14:textId="77777777" w:rsidR="00A40CD5" w:rsidRDefault="00871246" w:rsidP="00C53FD4">
      <w:r>
        <w:t xml:space="preserve">At April 30, 2022 </w:t>
      </w:r>
      <w:r w:rsidR="002E2E9F">
        <w:t>the Fund held a total of $5,586,365 and the Expend</w:t>
      </w:r>
      <w:r w:rsidR="0022089A">
        <w:t xml:space="preserve">able held a total of $1,211,019 for a </w:t>
      </w:r>
      <w:r w:rsidR="0022089A">
        <w:br/>
        <w:t xml:space="preserve">total of $6,797,384.  </w:t>
      </w:r>
      <w:r w:rsidR="00B80FA2">
        <w:t>This resulted in a health care sub</w:t>
      </w:r>
      <w:r w:rsidR="00A40CD5">
        <w:t>s</w:t>
      </w:r>
      <w:r w:rsidR="00B80FA2">
        <w:t>idy of $46.57 per year of pension service</w:t>
      </w:r>
      <w:r w:rsidR="00A40CD5">
        <w:t xml:space="preserve">. </w:t>
      </w:r>
    </w:p>
    <w:p w14:paraId="649BCB0E" w14:textId="77777777" w:rsidR="00A40CD5" w:rsidRDefault="00A40CD5" w:rsidP="00C53FD4">
      <w:r>
        <w:t>Example: with 30 years pension service = $116.42 per month subsidy</w:t>
      </w:r>
    </w:p>
    <w:p w14:paraId="0F69504D" w14:textId="77777777" w:rsidR="00F65CB9" w:rsidRDefault="00A40CD5" w:rsidP="00C53FD4">
      <w:r>
        <w:t>Example: with 35 years pension service = $135.8</w:t>
      </w:r>
      <w:r w:rsidR="00F65CB9">
        <w:t>2 per month subsidy</w:t>
      </w:r>
    </w:p>
    <w:p w14:paraId="11E12BFB" w14:textId="529C64BB" w:rsidR="000A610E" w:rsidRDefault="00BE516C" w:rsidP="00C53FD4">
      <w:r>
        <w:t xml:space="preserve">Because of the large balance </w:t>
      </w:r>
      <w:r w:rsidR="00F65CB9">
        <w:t xml:space="preserve">now </w:t>
      </w:r>
      <w:r>
        <w:t xml:space="preserve">sitting in the expendable account, finance brought forward a discussion on possible adjustments to the program that </w:t>
      </w:r>
      <w:r w:rsidR="00436C53">
        <w:t xml:space="preserve">could reduce the large variances in </w:t>
      </w:r>
      <w:r w:rsidR="002656A3">
        <w:t xml:space="preserve">subsidy from one year to another which are a product of the </w:t>
      </w:r>
      <w:r w:rsidR="00AA6B93">
        <w:t xml:space="preserve">3 year </w:t>
      </w:r>
      <w:r w:rsidR="00B80FA2">
        <w:t>averaging formula</w:t>
      </w:r>
      <w:r w:rsidR="00F65CB9">
        <w:t xml:space="preserve"> and allow for surplus expendable funds to </w:t>
      </w:r>
      <w:r w:rsidR="009E0A91">
        <w:t>earn a higher rate of return than they do now</w:t>
      </w:r>
      <w:r w:rsidR="00B80FA2">
        <w:t>.</w:t>
      </w:r>
      <w:r w:rsidR="009E0A91">
        <w:t xml:space="preserve">  We are still working on this project</w:t>
      </w:r>
      <w:r w:rsidR="007F59F6">
        <w:t>.</w:t>
      </w:r>
      <w:r w:rsidR="00B80FA2">
        <w:t xml:space="preserve">  </w:t>
      </w:r>
    </w:p>
    <w:p w14:paraId="71971CC2" w14:textId="77777777" w:rsidR="0022089A" w:rsidRDefault="0022089A" w:rsidP="00C53FD4"/>
    <w:p w14:paraId="71C24A05" w14:textId="59458828" w:rsidR="0022089A" w:rsidRPr="005E0635" w:rsidRDefault="007F59F6" w:rsidP="00C53FD4">
      <w:pPr>
        <w:rPr>
          <w:b/>
          <w:bCs/>
        </w:rPr>
      </w:pPr>
      <w:r w:rsidRPr="005E0635">
        <w:rPr>
          <w:b/>
          <w:bCs/>
        </w:rPr>
        <w:t>Introduction of Jody Fraser – AVP HR</w:t>
      </w:r>
    </w:p>
    <w:p w14:paraId="0B08CDFE" w14:textId="192121C5" w:rsidR="00C21557" w:rsidRPr="00833ADD" w:rsidRDefault="00C21557" w:rsidP="00C21557">
      <w:pPr>
        <w:spacing w:after="168" w:line="248" w:lineRule="auto"/>
        <w:ind w:left="643" w:right="480" w:hanging="10"/>
        <w:rPr>
          <w:b/>
          <w:bCs/>
          <w:sz w:val="28"/>
          <w:szCs w:val="28"/>
        </w:rPr>
      </w:pPr>
      <w:r w:rsidRPr="00833ADD">
        <w:rPr>
          <w:b/>
          <w:bCs/>
          <w:sz w:val="28"/>
          <w:szCs w:val="28"/>
        </w:rPr>
        <w:t>Bio – Jody Fraser</w:t>
      </w:r>
      <w:r w:rsidR="00C8401F">
        <w:rPr>
          <w:b/>
          <w:bCs/>
          <w:sz w:val="28"/>
          <w:szCs w:val="28"/>
        </w:rPr>
        <w:t xml:space="preserve"> </w:t>
      </w:r>
    </w:p>
    <w:p w14:paraId="6BD34A02" w14:textId="77777777" w:rsidR="00C21557" w:rsidRPr="00833ADD" w:rsidRDefault="00C21557" w:rsidP="00C21557">
      <w:pPr>
        <w:spacing w:after="168" w:line="248" w:lineRule="auto"/>
        <w:ind w:left="643" w:right="480" w:hanging="10"/>
        <w:rPr>
          <w:b/>
          <w:bCs/>
          <w:sz w:val="28"/>
          <w:szCs w:val="28"/>
        </w:rPr>
      </w:pPr>
      <w:r w:rsidRPr="00833ADD">
        <w:rPr>
          <w:b/>
          <w:bCs/>
          <w:sz w:val="28"/>
          <w:szCs w:val="28"/>
        </w:rPr>
        <w:t>Associate Vice-President, Human Resources</w:t>
      </w:r>
      <w:r>
        <w:rPr>
          <w:b/>
          <w:bCs/>
          <w:sz w:val="28"/>
          <w:szCs w:val="28"/>
        </w:rPr>
        <w:t>, University of Windsor</w:t>
      </w:r>
    </w:p>
    <w:p w14:paraId="44783659" w14:textId="7EFDFEA5" w:rsidR="00C21557" w:rsidRPr="001B17FC" w:rsidRDefault="00C21557" w:rsidP="00C21557">
      <w:pPr>
        <w:spacing w:after="168" w:line="248" w:lineRule="auto"/>
        <w:ind w:left="643" w:right="480" w:hanging="10"/>
      </w:pPr>
      <w:r w:rsidRPr="001B17FC">
        <w:t xml:space="preserve">As a senior human relations professional, Jody has over twenty years of experience delivering institutional people, </w:t>
      </w:r>
      <w:r w:rsidR="00B84A6E" w:rsidRPr="001B17FC">
        <w:t>culture,</w:t>
      </w:r>
      <w:r w:rsidRPr="001B17FC">
        <w:t xml:space="preserve"> and labour relations initiatives within the post-secondary environment. Jody holds a CPHR designation and has been an active member of the Alberta Labour Relations Board. She brings strategic leadership skills in institutional human resource management, and employee and labour relations. </w:t>
      </w:r>
    </w:p>
    <w:p w14:paraId="52C9BF1C" w14:textId="77777777" w:rsidR="00C21557" w:rsidRPr="001B17FC" w:rsidRDefault="00C21557" w:rsidP="00C21557">
      <w:pPr>
        <w:spacing w:after="168" w:line="248" w:lineRule="auto"/>
        <w:ind w:left="643" w:right="480" w:hanging="10"/>
      </w:pPr>
      <w:r w:rsidRPr="001B17FC">
        <w:lastRenderedPageBreak/>
        <w:t>Jody has worked most recently as a leader at the Southern Alberta Institute of Technology (SAIT) and the University of Calgary delivering strategic human resource services through leadership development, strategic negotiations planning, implementation and change management and policy development.</w:t>
      </w:r>
    </w:p>
    <w:p w14:paraId="20B579A7" w14:textId="77777777" w:rsidR="00C21557" w:rsidRPr="001B17FC" w:rsidRDefault="00C21557" w:rsidP="00C21557">
      <w:pPr>
        <w:spacing w:after="168" w:line="248" w:lineRule="auto"/>
        <w:ind w:left="643" w:right="480" w:hanging="10"/>
      </w:pPr>
      <w:r w:rsidRPr="001B17FC">
        <w:t>Jody is a strong believer in creating strong relationships and collaborations between all groups in the campus community.  This includes union leaders and groups, internal and external counsel, human resource professionals, government contacts and campus leaders. She is committed to EDID principles which strengthen our sense of team. She creates people oriented human resource services to drive culture transformation.</w:t>
      </w:r>
    </w:p>
    <w:p w14:paraId="4079FEAF" w14:textId="7CF54593" w:rsidR="00C21557" w:rsidRDefault="00E264CA" w:rsidP="001B17FC">
      <w:pPr>
        <w:spacing w:after="168" w:line="248" w:lineRule="auto"/>
        <w:ind w:left="643" w:right="480" w:hanging="10"/>
      </w:pPr>
      <w:r>
        <w:t xml:space="preserve">Another awesome fact about </w:t>
      </w:r>
      <w:r w:rsidR="00C21557" w:rsidRPr="001B17FC">
        <w:t xml:space="preserve">Jody </w:t>
      </w:r>
      <w:r>
        <w:t xml:space="preserve">is that she is </w:t>
      </w:r>
      <w:r w:rsidR="00C21557" w:rsidRPr="001B17FC">
        <w:t>a proud UWindsor Alum!</w:t>
      </w:r>
    </w:p>
    <w:sectPr w:rsidR="00C21557" w:rsidSect="00920E40">
      <w:pgSz w:w="12240" w:h="15840"/>
      <w:pgMar w:top="1008" w:right="1152" w:bottom="720"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CFD"/>
    <w:multiLevelType w:val="hybridMultilevel"/>
    <w:tmpl w:val="BE764B3A"/>
    <w:lvl w:ilvl="0" w:tplc="0C72D18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5D6199"/>
    <w:multiLevelType w:val="hybridMultilevel"/>
    <w:tmpl w:val="E69C77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C4444B"/>
    <w:multiLevelType w:val="hybridMultilevel"/>
    <w:tmpl w:val="1FF0A082"/>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5993BEA"/>
    <w:multiLevelType w:val="hybridMultilevel"/>
    <w:tmpl w:val="76FE4A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FC97B84"/>
    <w:multiLevelType w:val="hybridMultilevel"/>
    <w:tmpl w:val="B5C256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827697F"/>
    <w:multiLevelType w:val="hybridMultilevel"/>
    <w:tmpl w:val="717E7F1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87F01AB"/>
    <w:multiLevelType w:val="hybridMultilevel"/>
    <w:tmpl w:val="554A93A2"/>
    <w:lvl w:ilvl="0" w:tplc="0C72D18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87524FD"/>
    <w:multiLevelType w:val="hybridMultilevel"/>
    <w:tmpl w:val="8E7482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C152E48"/>
    <w:multiLevelType w:val="hybridMultilevel"/>
    <w:tmpl w:val="538C7FCA"/>
    <w:lvl w:ilvl="0" w:tplc="FCDC3F8E">
      <w:start w:val="1"/>
      <w:numFmt w:val="bullet"/>
      <w:lvlText w:val=""/>
      <w:lvlJc w:val="left"/>
      <w:pPr>
        <w:tabs>
          <w:tab w:val="num" w:pos="720"/>
        </w:tabs>
        <w:ind w:left="720" w:hanging="360"/>
      </w:pPr>
      <w:rPr>
        <w:rFonts w:ascii="Wingdings" w:hAnsi="Wingdings" w:hint="default"/>
      </w:rPr>
    </w:lvl>
    <w:lvl w:ilvl="1" w:tplc="B3F672EE">
      <w:numFmt w:val="bullet"/>
      <w:lvlText w:val=""/>
      <w:lvlJc w:val="left"/>
      <w:pPr>
        <w:tabs>
          <w:tab w:val="num" w:pos="1440"/>
        </w:tabs>
        <w:ind w:left="1440" w:hanging="360"/>
      </w:pPr>
      <w:rPr>
        <w:rFonts w:ascii="Wingdings" w:hAnsi="Wingdings" w:hint="default"/>
      </w:rPr>
    </w:lvl>
    <w:lvl w:ilvl="2" w:tplc="A9969492">
      <w:start w:val="1"/>
      <w:numFmt w:val="bullet"/>
      <w:lvlText w:val=""/>
      <w:lvlJc w:val="left"/>
      <w:pPr>
        <w:tabs>
          <w:tab w:val="num" w:pos="2160"/>
        </w:tabs>
        <w:ind w:left="2160" w:hanging="360"/>
      </w:pPr>
      <w:rPr>
        <w:rFonts w:ascii="Wingdings" w:hAnsi="Wingdings" w:hint="default"/>
      </w:rPr>
    </w:lvl>
    <w:lvl w:ilvl="3" w:tplc="3926B1B6">
      <w:start w:val="1"/>
      <w:numFmt w:val="bullet"/>
      <w:lvlText w:val=""/>
      <w:lvlJc w:val="left"/>
      <w:pPr>
        <w:tabs>
          <w:tab w:val="num" w:pos="2880"/>
        </w:tabs>
        <w:ind w:left="2880" w:hanging="360"/>
      </w:pPr>
      <w:rPr>
        <w:rFonts w:ascii="Wingdings" w:hAnsi="Wingdings" w:hint="default"/>
      </w:rPr>
    </w:lvl>
    <w:lvl w:ilvl="4" w:tplc="023CF7D8">
      <w:start w:val="1"/>
      <w:numFmt w:val="bullet"/>
      <w:lvlText w:val=""/>
      <w:lvlJc w:val="left"/>
      <w:pPr>
        <w:tabs>
          <w:tab w:val="num" w:pos="3600"/>
        </w:tabs>
        <w:ind w:left="3600" w:hanging="360"/>
      </w:pPr>
      <w:rPr>
        <w:rFonts w:ascii="Wingdings" w:hAnsi="Wingdings" w:hint="default"/>
      </w:rPr>
    </w:lvl>
    <w:lvl w:ilvl="5" w:tplc="B53C424A">
      <w:start w:val="1"/>
      <w:numFmt w:val="bullet"/>
      <w:lvlText w:val=""/>
      <w:lvlJc w:val="left"/>
      <w:pPr>
        <w:tabs>
          <w:tab w:val="num" w:pos="4320"/>
        </w:tabs>
        <w:ind w:left="4320" w:hanging="360"/>
      </w:pPr>
      <w:rPr>
        <w:rFonts w:ascii="Wingdings" w:hAnsi="Wingdings" w:hint="default"/>
      </w:rPr>
    </w:lvl>
    <w:lvl w:ilvl="6" w:tplc="706C7302">
      <w:start w:val="1"/>
      <w:numFmt w:val="bullet"/>
      <w:lvlText w:val=""/>
      <w:lvlJc w:val="left"/>
      <w:pPr>
        <w:tabs>
          <w:tab w:val="num" w:pos="5040"/>
        </w:tabs>
        <w:ind w:left="5040" w:hanging="360"/>
      </w:pPr>
      <w:rPr>
        <w:rFonts w:ascii="Wingdings" w:hAnsi="Wingdings" w:hint="default"/>
      </w:rPr>
    </w:lvl>
    <w:lvl w:ilvl="7" w:tplc="7FA423CC">
      <w:start w:val="1"/>
      <w:numFmt w:val="bullet"/>
      <w:lvlText w:val=""/>
      <w:lvlJc w:val="left"/>
      <w:pPr>
        <w:tabs>
          <w:tab w:val="num" w:pos="5760"/>
        </w:tabs>
        <w:ind w:left="5760" w:hanging="360"/>
      </w:pPr>
      <w:rPr>
        <w:rFonts w:ascii="Wingdings" w:hAnsi="Wingdings" w:hint="default"/>
      </w:rPr>
    </w:lvl>
    <w:lvl w:ilvl="8" w:tplc="9976BD1E">
      <w:start w:val="1"/>
      <w:numFmt w:val="bullet"/>
      <w:lvlText w:val=""/>
      <w:lvlJc w:val="left"/>
      <w:pPr>
        <w:tabs>
          <w:tab w:val="num" w:pos="6480"/>
        </w:tabs>
        <w:ind w:left="6480" w:hanging="360"/>
      </w:pPr>
      <w:rPr>
        <w:rFonts w:ascii="Wingdings" w:hAnsi="Wingdings" w:hint="default"/>
      </w:rPr>
    </w:lvl>
  </w:abstractNum>
  <w:num w:numId="1" w16cid:durableId="1047802280">
    <w:abstractNumId w:val="2"/>
  </w:num>
  <w:num w:numId="2" w16cid:durableId="1831015503">
    <w:abstractNumId w:val="5"/>
  </w:num>
  <w:num w:numId="3" w16cid:durableId="2109807217">
    <w:abstractNumId w:val="7"/>
  </w:num>
  <w:num w:numId="4" w16cid:durableId="1732072422">
    <w:abstractNumId w:val="1"/>
  </w:num>
  <w:num w:numId="5" w16cid:durableId="817234571">
    <w:abstractNumId w:val="3"/>
  </w:num>
  <w:num w:numId="6" w16cid:durableId="456031402">
    <w:abstractNumId w:val="4"/>
  </w:num>
  <w:num w:numId="7" w16cid:durableId="1458599331">
    <w:abstractNumId w:val="6"/>
  </w:num>
  <w:num w:numId="8" w16cid:durableId="2057005626">
    <w:abstractNumId w:val="0"/>
  </w:num>
  <w:num w:numId="9" w16cid:durableId="8422042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0DA"/>
    <w:rsid w:val="0000309B"/>
    <w:rsid w:val="000258BA"/>
    <w:rsid w:val="00045622"/>
    <w:rsid w:val="000569AC"/>
    <w:rsid w:val="00057F8E"/>
    <w:rsid w:val="0009342E"/>
    <w:rsid w:val="00094AAF"/>
    <w:rsid w:val="00095814"/>
    <w:rsid w:val="000A3D17"/>
    <w:rsid w:val="000A610E"/>
    <w:rsid w:val="000B1818"/>
    <w:rsid w:val="000B7FD5"/>
    <w:rsid w:val="000D23A0"/>
    <w:rsid w:val="000E4F84"/>
    <w:rsid w:val="0013568A"/>
    <w:rsid w:val="00144592"/>
    <w:rsid w:val="00151BCB"/>
    <w:rsid w:val="00157AB4"/>
    <w:rsid w:val="001640E7"/>
    <w:rsid w:val="00171B4A"/>
    <w:rsid w:val="0019359D"/>
    <w:rsid w:val="001B17FC"/>
    <w:rsid w:val="001B28FC"/>
    <w:rsid w:val="001B4482"/>
    <w:rsid w:val="001E6836"/>
    <w:rsid w:val="001E68DF"/>
    <w:rsid w:val="001E6D96"/>
    <w:rsid w:val="001E7430"/>
    <w:rsid w:val="002068C2"/>
    <w:rsid w:val="00206EDE"/>
    <w:rsid w:val="00210019"/>
    <w:rsid w:val="0021057F"/>
    <w:rsid w:val="0022089A"/>
    <w:rsid w:val="00232AD2"/>
    <w:rsid w:val="002379F7"/>
    <w:rsid w:val="00262655"/>
    <w:rsid w:val="002656A3"/>
    <w:rsid w:val="002662CD"/>
    <w:rsid w:val="00267CFF"/>
    <w:rsid w:val="002744E5"/>
    <w:rsid w:val="002B250E"/>
    <w:rsid w:val="002B39B2"/>
    <w:rsid w:val="002B6B74"/>
    <w:rsid w:val="002B77FC"/>
    <w:rsid w:val="002C57A1"/>
    <w:rsid w:val="002C68D3"/>
    <w:rsid w:val="002D6CC2"/>
    <w:rsid w:val="002E2E9F"/>
    <w:rsid w:val="002E785F"/>
    <w:rsid w:val="002F2CFF"/>
    <w:rsid w:val="00313CC9"/>
    <w:rsid w:val="00320760"/>
    <w:rsid w:val="003239E0"/>
    <w:rsid w:val="0033005E"/>
    <w:rsid w:val="003350DA"/>
    <w:rsid w:val="00372618"/>
    <w:rsid w:val="00373301"/>
    <w:rsid w:val="0038155A"/>
    <w:rsid w:val="00383039"/>
    <w:rsid w:val="003A2743"/>
    <w:rsid w:val="003A3068"/>
    <w:rsid w:val="003A4973"/>
    <w:rsid w:val="003B1301"/>
    <w:rsid w:val="003B44A5"/>
    <w:rsid w:val="003B6DEA"/>
    <w:rsid w:val="003B6FD4"/>
    <w:rsid w:val="003C707E"/>
    <w:rsid w:val="003D069D"/>
    <w:rsid w:val="003F0E21"/>
    <w:rsid w:val="00405431"/>
    <w:rsid w:val="0040799C"/>
    <w:rsid w:val="00420795"/>
    <w:rsid w:val="00420F64"/>
    <w:rsid w:val="00425F7B"/>
    <w:rsid w:val="00436C53"/>
    <w:rsid w:val="00455E57"/>
    <w:rsid w:val="00461A91"/>
    <w:rsid w:val="004674A4"/>
    <w:rsid w:val="004705B2"/>
    <w:rsid w:val="00470F3F"/>
    <w:rsid w:val="0048122D"/>
    <w:rsid w:val="00492280"/>
    <w:rsid w:val="004D0C06"/>
    <w:rsid w:val="004D2460"/>
    <w:rsid w:val="004D4AD9"/>
    <w:rsid w:val="004D6539"/>
    <w:rsid w:val="004F7DD8"/>
    <w:rsid w:val="00515DE8"/>
    <w:rsid w:val="0053673F"/>
    <w:rsid w:val="005372E4"/>
    <w:rsid w:val="0054543F"/>
    <w:rsid w:val="005558C2"/>
    <w:rsid w:val="005700AC"/>
    <w:rsid w:val="00585BAA"/>
    <w:rsid w:val="00597B68"/>
    <w:rsid w:val="005B3A12"/>
    <w:rsid w:val="005B55B8"/>
    <w:rsid w:val="005D77E8"/>
    <w:rsid w:val="005E04F9"/>
    <w:rsid w:val="005E0635"/>
    <w:rsid w:val="005F2669"/>
    <w:rsid w:val="00622737"/>
    <w:rsid w:val="006278C3"/>
    <w:rsid w:val="006329B5"/>
    <w:rsid w:val="0069389A"/>
    <w:rsid w:val="00696ABD"/>
    <w:rsid w:val="006A10E5"/>
    <w:rsid w:val="006B120E"/>
    <w:rsid w:val="006B537D"/>
    <w:rsid w:val="006C68E7"/>
    <w:rsid w:val="006E1935"/>
    <w:rsid w:val="006E4D0B"/>
    <w:rsid w:val="007044ED"/>
    <w:rsid w:val="00713CD3"/>
    <w:rsid w:val="0071406C"/>
    <w:rsid w:val="00731619"/>
    <w:rsid w:val="007341B3"/>
    <w:rsid w:val="00742C4D"/>
    <w:rsid w:val="00743B42"/>
    <w:rsid w:val="00760441"/>
    <w:rsid w:val="0076701B"/>
    <w:rsid w:val="0077213A"/>
    <w:rsid w:val="00794819"/>
    <w:rsid w:val="007A5B7D"/>
    <w:rsid w:val="007C22CE"/>
    <w:rsid w:val="007F1EC4"/>
    <w:rsid w:val="007F59F6"/>
    <w:rsid w:val="00821A1A"/>
    <w:rsid w:val="00825BED"/>
    <w:rsid w:val="00831DBC"/>
    <w:rsid w:val="00837E6C"/>
    <w:rsid w:val="00843676"/>
    <w:rsid w:val="00843CBE"/>
    <w:rsid w:val="00854F2C"/>
    <w:rsid w:val="00871246"/>
    <w:rsid w:val="008738A0"/>
    <w:rsid w:val="00880A96"/>
    <w:rsid w:val="00883EC2"/>
    <w:rsid w:val="00892C4F"/>
    <w:rsid w:val="00894014"/>
    <w:rsid w:val="008A6447"/>
    <w:rsid w:val="008C2697"/>
    <w:rsid w:val="008C3978"/>
    <w:rsid w:val="008E7AB9"/>
    <w:rsid w:val="008E7FCE"/>
    <w:rsid w:val="00906A94"/>
    <w:rsid w:val="00920E40"/>
    <w:rsid w:val="009262A2"/>
    <w:rsid w:val="0094133C"/>
    <w:rsid w:val="0097245E"/>
    <w:rsid w:val="00973571"/>
    <w:rsid w:val="00974DD8"/>
    <w:rsid w:val="00982677"/>
    <w:rsid w:val="0098345F"/>
    <w:rsid w:val="00983AA0"/>
    <w:rsid w:val="009A3F96"/>
    <w:rsid w:val="009B2400"/>
    <w:rsid w:val="009D4FEB"/>
    <w:rsid w:val="009E0A91"/>
    <w:rsid w:val="009E37BB"/>
    <w:rsid w:val="009E7ACB"/>
    <w:rsid w:val="00A1636B"/>
    <w:rsid w:val="00A16C1F"/>
    <w:rsid w:val="00A20D49"/>
    <w:rsid w:val="00A32EBC"/>
    <w:rsid w:val="00A407C6"/>
    <w:rsid w:val="00A40CD5"/>
    <w:rsid w:val="00A42139"/>
    <w:rsid w:val="00A458D7"/>
    <w:rsid w:val="00A46181"/>
    <w:rsid w:val="00A4766A"/>
    <w:rsid w:val="00A503C9"/>
    <w:rsid w:val="00A57211"/>
    <w:rsid w:val="00A601AB"/>
    <w:rsid w:val="00A7775A"/>
    <w:rsid w:val="00A809A8"/>
    <w:rsid w:val="00A97C17"/>
    <w:rsid w:val="00AA49D9"/>
    <w:rsid w:val="00AA6B93"/>
    <w:rsid w:val="00AB5590"/>
    <w:rsid w:val="00AB6C3F"/>
    <w:rsid w:val="00AC0491"/>
    <w:rsid w:val="00AD2759"/>
    <w:rsid w:val="00AD73AB"/>
    <w:rsid w:val="00AF4033"/>
    <w:rsid w:val="00B01280"/>
    <w:rsid w:val="00B15BA9"/>
    <w:rsid w:val="00B23A74"/>
    <w:rsid w:val="00B34491"/>
    <w:rsid w:val="00B34934"/>
    <w:rsid w:val="00B43271"/>
    <w:rsid w:val="00B62C26"/>
    <w:rsid w:val="00B7171A"/>
    <w:rsid w:val="00B80FA2"/>
    <w:rsid w:val="00B84A6E"/>
    <w:rsid w:val="00B920EA"/>
    <w:rsid w:val="00BB1E63"/>
    <w:rsid w:val="00BB51BB"/>
    <w:rsid w:val="00BC3BB1"/>
    <w:rsid w:val="00BE1FB9"/>
    <w:rsid w:val="00BE516C"/>
    <w:rsid w:val="00C05DDB"/>
    <w:rsid w:val="00C10569"/>
    <w:rsid w:val="00C15C60"/>
    <w:rsid w:val="00C15C6C"/>
    <w:rsid w:val="00C17DAB"/>
    <w:rsid w:val="00C21557"/>
    <w:rsid w:val="00C247A1"/>
    <w:rsid w:val="00C26F0B"/>
    <w:rsid w:val="00C30E6E"/>
    <w:rsid w:val="00C47434"/>
    <w:rsid w:val="00C47E41"/>
    <w:rsid w:val="00C53B15"/>
    <w:rsid w:val="00C53FD4"/>
    <w:rsid w:val="00C62C09"/>
    <w:rsid w:val="00C74F21"/>
    <w:rsid w:val="00C8401F"/>
    <w:rsid w:val="00CA4169"/>
    <w:rsid w:val="00CB2FFB"/>
    <w:rsid w:val="00CC0D1A"/>
    <w:rsid w:val="00CC2739"/>
    <w:rsid w:val="00D1227D"/>
    <w:rsid w:val="00D13439"/>
    <w:rsid w:val="00D5438E"/>
    <w:rsid w:val="00D62664"/>
    <w:rsid w:val="00D67CFA"/>
    <w:rsid w:val="00D722F5"/>
    <w:rsid w:val="00D7261A"/>
    <w:rsid w:val="00D9539C"/>
    <w:rsid w:val="00DA35CE"/>
    <w:rsid w:val="00DA50B2"/>
    <w:rsid w:val="00DA6BB5"/>
    <w:rsid w:val="00DB284D"/>
    <w:rsid w:val="00DB3261"/>
    <w:rsid w:val="00DC5211"/>
    <w:rsid w:val="00E07714"/>
    <w:rsid w:val="00E21408"/>
    <w:rsid w:val="00E264CA"/>
    <w:rsid w:val="00E333A5"/>
    <w:rsid w:val="00E50E56"/>
    <w:rsid w:val="00E51748"/>
    <w:rsid w:val="00E551BD"/>
    <w:rsid w:val="00E57C81"/>
    <w:rsid w:val="00E62626"/>
    <w:rsid w:val="00E62DAF"/>
    <w:rsid w:val="00E76474"/>
    <w:rsid w:val="00E80C6E"/>
    <w:rsid w:val="00E84C67"/>
    <w:rsid w:val="00E863BA"/>
    <w:rsid w:val="00E872B2"/>
    <w:rsid w:val="00E941A8"/>
    <w:rsid w:val="00EC5926"/>
    <w:rsid w:val="00ED0036"/>
    <w:rsid w:val="00ED01E1"/>
    <w:rsid w:val="00ED1507"/>
    <w:rsid w:val="00EE5FAD"/>
    <w:rsid w:val="00EF6C7B"/>
    <w:rsid w:val="00F064B2"/>
    <w:rsid w:val="00F119C4"/>
    <w:rsid w:val="00F2023A"/>
    <w:rsid w:val="00F35A81"/>
    <w:rsid w:val="00F36E2C"/>
    <w:rsid w:val="00F65CB9"/>
    <w:rsid w:val="00F82EAA"/>
    <w:rsid w:val="00F840F6"/>
    <w:rsid w:val="00F841BB"/>
    <w:rsid w:val="00F92AF2"/>
    <w:rsid w:val="00FA5F31"/>
    <w:rsid w:val="00FA772C"/>
    <w:rsid w:val="00FB68F4"/>
    <w:rsid w:val="00FC1A0F"/>
    <w:rsid w:val="00FC4BB6"/>
    <w:rsid w:val="00FD2813"/>
    <w:rsid w:val="00FD5EA6"/>
    <w:rsid w:val="00FF16F0"/>
    <w:rsid w:val="00FF55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1B8F5"/>
  <w15:docId w15:val="{CD8B0E08-F085-4483-AEBC-EB7BC94A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0DA"/>
    <w:pPr>
      <w:ind w:left="720"/>
      <w:contextualSpacing/>
    </w:pPr>
  </w:style>
  <w:style w:type="character" w:styleId="Hyperlink">
    <w:name w:val="Hyperlink"/>
    <w:basedOn w:val="DefaultParagraphFont"/>
    <w:uiPriority w:val="99"/>
    <w:unhideWhenUsed/>
    <w:rsid w:val="00F064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84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www1.uwindsor.ca/pensions/facultyemployee-plan-open-pension-meeting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Cheryl Paglione</cp:lastModifiedBy>
  <cp:revision>34</cp:revision>
  <dcterms:created xsi:type="dcterms:W3CDTF">2023-11-13T19:42:00Z</dcterms:created>
  <dcterms:modified xsi:type="dcterms:W3CDTF">2023-11-13T20:44:00Z</dcterms:modified>
</cp:coreProperties>
</file>