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1B8F5" w14:textId="5C5975DD" w:rsidR="00E863BA" w:rsidRPr="003350DA" w:rsidRDefault="003350DA" w:rsidP="003350DA">
      <w:pPr>
        <w:jc w:val="center"/>
        <w:rPr>
          <w:b/>
          <w:i/>
        </w:rPr>
      </w:pPr>
      <w:r w:rsidRPr="003350DA">
        <w:rPr>
          <w:b/>
          <w:i/>
        </w:rPr>
        <w:t xml:space="preserve">WURA Fall General Meeting – </w:t>
      </w:r>
      <w:r w:rsidR="009107FC">
        <w:rPr>
          <w:b/>
          <w:i/>
        </w:rPr>
        <w:t>Tuesday</w:t>
      </w:r>
      <w:r w:rsidR="0040799C">
        <w:rPr>
          <w:b/>
          <w:i/>
        </w:rPr>
        <w:t xml:space="preserve">, </w:t>
      </w:r>
      <w:r w:rsidR="009107FC">
        <w:rPr>
          <w:b/>
          <w:i/>
        </w:rPr>
        <w:t>December</w:t>
      </w:r>
      <w:r w:rsidR="00157AB4">
        <w:rPr>
          <w:b/>
          <w:i/>
        </w:rPr>
        <w:t xml:space="preserve"> </w:t>
      </w:r>
      <w:r w:rsidR="009107FC">
        <w:rPr>
          <w:b/>
          <w:i/>
        </w:rPr>
        <w:t>03</w:t>
      </w:r>
      <w:r w:rsidR="006A10E5">
        <w:rPr>
          <w:b/>
          <w:i/>
        </w:rPr>
        <w:t>, 202</w:t>
      </w:r>
      <w:r w:rsidR="009107FC">
        <w:rPr>
          <w:b/>
          <w:i/>
        </w:rPr>
        <w:t>4</w:t>
      </w:r>
      <w:r w:rsidR="0040799C">
        <w:rPr>
          <w:b/>
          <w:i/>
        </w:rPr>
        <w:t xml:space="preserve"> </w:t>
      </w:r>
    </w:p>
    <w:p w14:paraId="36C1B8F6" w14:textId="77777777" w:rsidR="003350DA" w:rsidRDefault="003350DA"/>
    <w:p w14:paraId="5A055F26" w14:textId="60652CD9" w:rsidR="00C21557" w:rsidRPr="0077213A" w:rsidRDefault="007044ED" w:rsidP="007044ED">
      <w:pPr>
        <w:rPr>
          <w:b/>
          <w:bCs/>
        </w:rPr>
      </w:pPr>
      <w:r w:rsidRPr="0077213A">
        <w:rPr>
          <w:b/>
          <w:bCs/>
        </w:rPr>
        <w:t>PENSION REPORT:</w:t>
      </w:r>
    </w:p>
    <w:p w14:paraId="36C1B8FC" w14:textId="5948CF02" w:rsidR="003350DA" w:rsidRDefault="00C17DAB" w:rsidP="00292170">
      <w:pPr>
        <w:pStyle w:val="ListParagraph"/>
        <w:numPr>
          <w:ilvl w:val="0"/>
          <w:numId w:val="2"/>
        </w:numPr>
        <w:ind w:left="360"/>
        <w:jc w:val="both"/>
      </w:pPr>
      <w:r>
        <w:t xml:space="preserve">As </w:t>
      </w:r>
      <w:r w:rsidR="009A7E62">
        <w:t>Interest Rates</w:t>
      </w:r>
      <w:r>
        <w:t xml:space="preserve"> over the past plan year </w:t>
      </w:r>
      <w:r w:rsidR="009A7E62">
        <w:t>were</w:t>
      </w:r>
      <w:r w:rsidR="00ED2014">
        <w:t xml:space="preserve"> </w:t>
      </w:r>
      <w:r w:rsidR="0007342D">
        <w:t>higher</w:t>
      </w:r>
      <w:r>
        <w:t xml:space="preserve">, </w:t>
      </w:r>
      <w:r w:rsidR="00DA50B2">
        <w:t>o</w:t>
      </w:r>
      <w:r w:rsidR="003F0E21">
        <w:t>ur</w:t>
      </w:r>
      <w:r w:rsidR="004D0C06">
        <w:t xml:space="preserve"> Pens</w:t>
      </w:r>
      <w:r w:rsidR="003350DA">
        <w:t>ion Plan fund performance at June 30, 20</w:t>
      </w:r>
      <w:r w:rsidR="008E7AB9">
        <w:t>2</w:t>
      </w:r>
      <w:r w:rsidR="009107FC">
        <w:t>4</w:t>
      </w:r>
      <w:r w:rsidR="00DA50B2">
        <w:t xml:space="preserve"> </w:t>
      </w:r>
      <w:r w:rsidR="0007342D">
        <w:t>decreased</w:t>
      </w:r>
      <w:r w:rsidR="00DA50B2">
        <w:t xml:space="preserve"> from a </w:t>
      </w:r>
      <w:r w:rsidR="00AD73AB">
        <w:t xml:space="preserve">return of </w:t>
      </w:r>
      <w:r w:rsidR="00ED2014">
        <w:t>12.58</w:t>
      </w:r>
      <w:r w:rsidR="00AD73AB">
        <w:t>%</w:t>
      </w:r>
      <w:r w:rsidR="00DA50B2">
        <w:t xml:space="preserve"> the prior year to a return of </w:t>
      </w:r>
      <w:r w:rsidR="006B02E9">
        <w:t>8.44</w:t>
      </w:r>
      <w:r w:rsidR="00DA50B2">
        <w:t>%</w:t>
      </w:r>
      <w:r w:rsidR="0009342E">
        <w:t>.</w:t>
      </w:r>
    </w:p>
    <w:p w14:paraId="4870B767" w14:textId="77777777" w:rsidR="00A4766A" w:rsidRDefault="00A4766A" w:rsidP="00292170">
      <w:pPr>
        <w:jc w:val="both"/>
      </w:pPr>
    </w:p>
    <w:p w14:paraId="36C1B8FD" w14:textId="1357EA5A" w:rsidR="003350DA" w:rsidRDefault="001B28FC" w:rsidP="00292170">
      <w:pPr>
        <w:pStyle w:val="ListParagraph"/>
        <w:numPr>
          <w:ilvl w:val="0"/>
          <w:numId w:val="2"/>
        </w:numPr>
        <w:ind w:left="360"/>
        <w:jc w:val="both"/>
      </w:pPr>
      <w:r>
        <w:t xml:space="preserve">As a result, the Faculty Retiree </w:t>
      </w:r>
      <w:r w:rsidR="00C15C60">
        <w:t xml:space="preserve">Money Purchase Component of </w:t>
      </w:r>
      <w:r w:rsidR="0021057F">
        <w:t>pensions</w:t>
      </w:r>
      <w:r>
        <w:t xml:space="preserve"> </w:t>
      </w:r>
      <w:r w:rsidR="00707D7C">
        <w:t>decreased/</w:t>
      </w:r>
      <w:r w:rsidR="00A4766A">
        <w:t>increased accordingly</w:t>
      </w:r>
      <w:r w:rsidR="00B920EA">
        <w:t xml:space="preserve">.  The actual </w:t>
      </w:r>
      <w:r w:rsidR="00707D7C">
        <w:t>decrease/</w:t>
      </w:r>
      <w:r w:rsidR="00B920EA">
        <w:t xml:space="preserve">increase is the </w:t>
      </w:r>
      <w:r w:rsidR="003A2743">
        <w:t xml:space="preserve">difference between the return and </w:t>
      </w:r>
      <w:r w:rsidR="00ED4443">
        <w:t>6</w:t>
      </w:r>
      <w:r w:rsidR="003A2743">
        <w:t>%, plus the mortality adjustment.</w:t>
      </w:r>
    </w:p>
    <w:p w14:paraId="36C1B8FE" w14:textId="77777777" w:rsidR="003350DA" w:rsidRDefault="003350DA" w:rsidP="00292170">
      <w:pPr>
        <w:ind w:left="360"/>
        <w:jc w:val="both"/>
      </w:pPr>
    </w:p>
    <w:p w14:paraId="36C1B8FF" w14:textId="3406ABB7" w:rsidR="003350DA" w:rsidRDefault="00B84A6E" w:rsidP="00292170">
      <w:pPr>
        <w:pStyle w:val="ListParagraph"/>
        <w:numPr>
          <w:ilvl w:val="1"/>
          <w:numId w:val="2"/>
        </w:numPr>
        <w:jc w:val="both"/>
      </w:pPr>
      <w:r>
        <w:t>Pre-July 1</w:t>
      </w:r>
      <w:r w:rsidR="003350DA">
        <w:t>, 2004</w:t>
      </w:r>
      <w:r>
        <w:t>,</w:t>
      </w:r>
      <w:r w:rsidR="003350DA">
        <w:t xml:space="preserve"> </w:t>
      </w:r>
      <w:r w:rsidR="0094133C">
        <w:t>MPP pension</w:t>
      </w:r>
      <w:r w:rsidR="00AB5590">
        <w:t>s</w:t>
      </w:r>
      <w:r w:rsidR="0094133C">
        <w:t xml:space="preserve"> </w:t>
      </w:r>
      <w:r w:rsidR="00BC3736">
        <w:t>decreased</w:t>
      </w:r>
      <w:r w:rsidR="00B920EA">
        <w:t xml:space="preserve"> by </w:t>
      </w:r>
      <w:r w:rsidR="00BC3736">
        <w:t>-1.14</w:t>
      </w:r>
      <w:r w:rsidR="00B920EA">
        <w:t>%</w:t>
      </w:r>
      <w:r w:rsidR="000D23A0">
        <w:t xml:space="preserve"> </w:t>
      </w:r>
      <w:r w:rsidR="00CB2FFB">
        <w:t>(</w:t>
      </w:r>
      <w:r w:rsidR="00ED4443">
        <w:t>8.44</w:t>
      </w:r>
      <w:r w:rsidR="00CB2FFB">
        <w:t xml:space="preserve">% - 6% - </w:t>
      </w:r>
      <w:r w:rsidR="004A6125">
        <w:t>3.58</w:t>
      </w:r>
      <w:r w:rsidR="00CB2FFB">
        <w:t>%)</w:t>
      </w:r>
      <w:r w:rsidR="00C47E41">
        <w:t xml:space="preserve">. </w:t>
      </w:r>
    </w:p>
    <w:p w14:paraId="36C1B900" w14:textId="77777777" w:rsidR="003350DA" w:rsidRDefault="003350DA" w:rsidP="00292170">
      <w:pPr>
        <w:ind w:left="1080"/>
        <w:jc w:val="both"/>
      </w:pPr>
    </w:p>
    <w:p w14:paraId="2DB45AA0" w14:textId="22010EFA" w:rsidR="0033005E" w:rsidRDefault="003350DA" w:rsidP="00292170">
      <w:pPr>
        <w:pStyle w:val="ListParagraph"/>
        <w:numPr>
          <w:ilvl w:val="1"/>
          <w:numId w:val="2"/>
        </w:numPr>
        <w:jc w:val="both"/>
      </w:pPr>
      <w:r>
        <w:t xml:space="preserve">Post July 1, </w:t>
      </w:r>
      <w:r w:rsidR="00B84A6E">
        <w:t>2004,</w:t>
      </w:r>
      <w:r>
        <w:t xml:space="preserve"> MPP</w:t>
      </w:r>
      <w:r w:rsidR="00AB5590">
        <w:t xml:space="preserve"> pensions </w:t>
      </w:r>
      <w:r w:rsidR="00A57211">
        <w:t xml:space="preserve">increased by </w:t>
      </w:r>
      <w:r w:rsidR="00BC3736">
        <w:t>2.56</w:t>
      </w:r>
      <w:r w:rsidR="00F35A81">
        <w:t xml:space="preserve">% </w:t>
      </w:r>
      <w:r w:rsidR="000258BA">
        <w:t>(</w:t>
      </w:r>
      <w:r w:rsidR="00BC3736">
        <w:t>8.44</w:t>
      </w:r>
      <w:r w:rsidR="00760441">
        <w:t xml:space="preserve">% - 6% </w:t>
      </w:r>
      <w:r w:rsidR="00BC3736">
        <w:t>+</w:t>
      </w:r>
      <w:r w:rsidR="00267CFF">
        <w:t xml:space="preserve"> 0.</w:t>
      </w:r>
      <w:r w:rsidR="00BC3736">
        <w:t>12</w:t>
      </w:r>
      <w:r w:rsidR="0033005E">
        <w:t>%)</w:t>
      </w:r>
    </w:p>
    <w:p w14:paraId="7B057F5E" w14:textId="77777777" w:rsidR="0033005E" w:rsidRDefault="0033005E" w:rsidP="00292170">
      <w:pPr>
        <w:pStyle w:val="ListParagraph"/>
        <w:jc w:val="both"/>
      </w:pPr>
    </w:p>
    <w:p w14:paraId="36C1B901" w14:textId="2418CA62" w:rsidR="003350DA" w:rsidRDefault="00A503C9" w:rsidP="00292170">
      <w:pPr>
        <w:ind w:left="1080"/>
        <w:jc w:val="both"/>
      </w:pPr>
      <w:r w:rsidRPr="00A503C9">
        <w:rPr>
          <w:u w:val="single"/>
        </w:rPr>
        <w:t>Note:</w:t>
      </w:r>
      <w:r w:rsidR="00883EC2">
        <w:t xml:space="preserve"> the differ</w:t>
      </w:r>
      <w:r w:rsidR="003350DA">
        <w:t xml:space="preserve">ence </w:t>
      </w:r>
      <w:r w:rsidR="00883EC2">
        <w:t xml:space="preserve">between the pre and post 2004 groups </w:t>
      </w:r>
      <w:r w:rsidR="003350DA">
        <w:t>is directly related to the mortality experience of each group</w:t>
      </w:r>
      <w:r w:rsidR="008C2697">
        <w:t>.</w:t>
      </w:r>
    </w:p>
    <w:p w14:paraId="36C1B902" w14:textId="77777777" w:rsidR="003350DA" w:rsidRDefault="003350DA" w:rsidP="00292170">
      <w:pPr>
        <w:pStyle w:val="ListParagraph"/>
        <w:jc w:val="both"/>
      </w:pPr>
    </w:p>
    <w:p w14:paraId="36C1B903" w14:textId="058D437A" w:rsidR="003350DA" w:rsidRDefault="003350DA" w:rsidP="00292170">
      <w:pPr>
        <w:pStyle w:val="ListParagraph"/>
        <w:numPr>
          <w:ilvl w:val="1"/>
          <w:numId w:val="2"/>
        </w:numPr>
        <w:jc w:val="both"/>
      </w:pPr>
      <w:r>
        <w:t xml:space="preserve">MGB indexing adjustment of </w:t>
      </w:r>
      <w:r w:rsidR="00A1636B">
        <w:t>2.</w:t>
      </w:r>
      <w:r w:rsidR="006A5F9D">
        <w:t>0</w:t>
      </w:r>
      <w:r w:rsidR="00A601AB">
        <w:t>0</w:t>
      </w:r>
      <w:r w:rsidR="00A1636B">
        <w:t>%</w:t>
      </w:r>
      <w:r>
        <w:t xml:space="preserve"> </w:t>
      </w:r>
    </w:p>
    <w:p w14:paraId="36C1B904" w14:textId="0B015B24" w:rsidR="003350DA" w:rsidRDefault="00AD2759" w:rsidP="00292170">
      <w:pPr>
        <w:ind w:left="1440"/>
        <w:jc w:val="both"/>
      </w:pPr>
      <w:r>
        <w:t>We saw increase in the CPI at June 30, 202</w:t>
      </w:r>
      <w:r w:rsidR="00EC48AE">
        <w:t>4</w:t>
      </w:r>
      <w:r w:rsidR="008738A0">
        <w:t xml:space="preserve"> </w:t>
      </w:r>
      <w:r w:rsidR="0053673F">
        <w:t>whi</w:t>
      </w:r>
      <w:r>
        <w:t xml:space="preserve">ch </w:t>
      </w:r>
      <w:r w:rsidR="00DB3261">
        <w:t>resulted in an increase of 2.</w:t>
      </w:r>
      <w:r w:rsidR="005D09C5">
        <w:t>0</w:t>
      </w:r>
      <w:r w:rsidR="00A601AB">
        <w:t>0</w:t>
      </w:r>
      <w:r w:rsidR="00DB3261">
        <w:t xml:space="preserve">% to </w:t>
      </w:r>
      <w:r w:rsidR="00AB6C3F">
        <w:t>the Minimum Guaranteed Component</w:t>
      </w:r>
      <w:r w:rsidR="00A31867">
        <w:t xml:space="preserve"> </w:t>
      </w:r>
      <w:r w:rsidR="00A1636B">
        <w:t>(</w:t>
      </w:r>
      <w:r w:rsidR="003350DA">
        <w:t xml:space="preserve">CPI increase was </w:t>
      </w:r>
      <w:r w:rsidR="003D04D8">
        <w:t>3.11</w:t>
      </w:r>
      <w:r w:rsidR="00E941A8">
        <w:t>%</w:t>
      </w:r>
      <w:r w:rsidR="002379F7">
        <w:t>, therefore</w:t>
      </w:r>
      <w:r w:rsidR="005B3A12">
        <w:t xml:space="preserve"> the Plan provides that if the CPI increase is between </w:t>
      </w:r>
      <w:r w:rsidR="003D04D8">
        <w:t>2</w:t>
      </w:r>
      <w:r w:rsidR="005B3A12">
        <w:t xml:space="preserve">% and </w:t>
      </w:r>
      <w:r w:rsidR="003D04D8">
        <w:t>4</w:t>
      </w:r>
      <w:r w:rsidR="005B3A12">
        <w:t xml:space="preserve">%, the MGB indexing </w:t>
      </w:r>
      <w:r w:rsidR="003D04D8">
        <w:t>increase is capped at 2%</w:t>
      </w:r>
      <w:r w:rsidR="003350DA">
        <w:t>)</w:t>
      </w:r>
    </w:p>
    <w:p w14:paraId="36C1B905" w14:textId="77777777" w:rsidR="003350DA" w:rsidRDefault="003350DA" w:rsidP="00292170">
      <w:pPr>
        <w:jc w:val="both"/>
      </w:pPr>
    </w:p>
    <w:p w14:paraId="36C1B906" w14:textId="77777777" w:rsidR="003350DA" w:rsidRDefault="00D13439" w:rsidP="00292170">
      <w:pPr>
        <w:pStyle w:val="ListParagraph"/>
        <w:numPr>
          <w:ilvl w:val="0"/>
          <w:numId w:val="2"/>
        </w:numPr>
        <w:jc w:val="both"/>
      </w:pPr>
      <w:r>
        <w:t>Retiree demographics over the past year</w:t>
      </w:r>
    </w:p>
    <w:p w14:paraId="36C1B907" w14:textId="3C7742DB" w:rsidR="00D13439" w:rsidRDefault="00D13439" w:rsidP="00292170">
      <w:pPr>
        <w:pStyle w:val="ListParagraph"/>
        <w:numPr>
          <w:ilvl w:val="1"/>
          <w:numId w:val="2"/>
        </w:numPr>
        <w:jc w:val="both"/>
      </w:pPr>
      <w:r>
        <w:t>At June 30, 20</w:t>
      </w:r>
      <w:r w:rsidR="007341B3">
        <w:t>2</w:t>
      </w:r>
      <w:r w:rsidR="003D04D8">
        <w:t>4</w:t>
      </w:r>
      <w:r>
        <w:t xml:space="preserve"> there were </w:t>
      </w:r>
      <w:r w:rsidR="00194973">
        <w:t>516</w:t>
      </w:r>
      <w:r>
        <w:t xml:space="preserve"> </w:t>
      </w:r>
      <w:r w:rsidR="000B1818">
        <w:t>persons in receipt of a monthly pension</w:t>
      </w:r>
      <w:r w:rsidR="000D23A0">
        <w:t>.</w:t>
      </w:r>
    </w:p>
    <w:p w14:paraId="36C1B908" w14:textId="03C9AD2F" w:rsidR="00D13439" w:rsidRDefault="00DA6727" w:rsidP="00292170">
      <w:pPr>
        <w:pStyle w:val="ListParagraph"/>
        <w:numPr>
          <w:ilvl w:val="1"/>
          <w:numId w:val="2"/>
        </w:numPr>
        <w:jc w:val="both"/>
      </w:pPr>
      <w:r>
        <w:t>74</w:t>
      </w:r>
      <w:r w:rsidR="00D13439">
        <w:t xml:space="preserve"> </w:t>
      </w:r>
      <w:r w:rsidR="00AB5590">
        <w:t>pensioners</w:t>
      </w:r>
      <w:r w:rsidR="00D13439">
        <w:t xml:space="preserve"> with no MGB subsidy</w:t>
      </w:r>
      <w:r w:rsidR="00CA4169">
        <w:t xml:space="preserve"> required </w:t>
      </w:r>
      <w:r w:rsidR="00D13439">
        <w:t>and</w:t>
      </w:r>
      <w:r w:rsidR="00F840F6">
        <w:t xml:space="preserve"> </w:t>
      </w:r>
      <w:r w:rsidR="00151BCB">
        <w:t>4</w:t>
      </w:r>
      <w:r w:rsidR="00617475">
        <w:t>42</w:t>
      </w:r>
      <w:r w:rsidR="00D13439">
        <w:t xml:space="preserve"> requiring a </w:t>
      </w:r>
      <w:r w:rsidR="00B84A6E">
        <w:t>subsidy:</w:t>
      </w:r>
      <w:r w:rsidR="00CA4169">
        <w:t xml:space="preserve"> </w:t>
      </w:r>
      <w:r w:rsidR="00617475">
        <w:t>14</w:t>
      </w:r>
      <w:r w:rsidR="00BC3BB1">
        <w:t>.</w:t>
      </w:r>
      <w:r w:rsidR="00617475">
        <w:t>34</w:t>
      </w:r>
      <w:r w:rsidR="00CA4169">
        <w:t>%</w:t>
      </w:r>
      <w:r w:rsidR="00B15BA9">
        <w:t xml:space="preserve"> &amp; </w:t>
      </w:r>
      <w:r w:rsidR="00A809A8">
        <w:t>8</w:t>
      </w:r>
      <w:r w:rsidR="00617475">
        <w:t>5</w:t>
      </w:r>
      <w:r w:rsidR="00A809A8">
        <w:t>.</w:t>
      </w:r>
      <w:r w:rsidR="00617475">
        <w:t>66</w:t>
      </w:r>
      <w:r w:rsidR="00B15BA9">
        <w:t>%</w:t>
      </w:r>
    </w:p>
    <w:p w14:paraId="36C1B909" w14:textId="1BA0E84B" w:rsidR="00D13439" w:rsidRDefault="00D13439" w:rsidP="00292170">
      <w:pPr>
        <w:pStyle w:val="ListParagraph"/>
        <w:numPr>
          <w:ilvl w:val="1"/>
          <w:numId w:val="2"/>
        </w:numPr>
        <w:jc w:val="both"/>
      </w:pPr>
      <w:r>
        <w:t xml:space="preserve">After running the indexing process and picking up new July 1, </w:t>
      </w:r>
      <w:r w:rsidR="00B84A6E">
        <w:t>202</w:t>
      </w:r>
      <w:r w:rsidR="000E1DEC">
        <w:t>4</w:t>
      </w:r>
      <w:r w:rsidR="00B84A6E">
        <w:t>,</w:t>
      </w:r>
      <w:r>
        <w:t xml:space="preserve"> retirees</w:t>
      </w:r>
      <w:r w:rsidR="002068C2">
        <w:t xml:space="preserve"> (</w:t>
      </w:r>
      <w:r w:rsidR="003C7F86">
        <w:t>6</w:t>
      </w:r>
      <w:r w:rsidR="00A809A8">
        <w:t>)</w:t>
      </w:r>
      <w:r>
        <w:t xml:space="preserve"> </w:t>
      </w:r>
      <w:r w:rsidR="000B1818">
        <w:t xml:space="preserve">we had </w:t>
      </w:r>
      <w:r w:rsidR="003C7F86">
        <w:t>81</w:t>
      </w:r>
      <w:r>
        <w:t xml:space="preserve"> </w:t>
      </w:r>
      <w:r w:rsidR="00AB5590">
        <w:t>pensioners</w:t>
      </w:r>
      <w:r>
        <w:t xml:space="preserve"> w</w:t>
      </w:r>
      <w:r w:rsidR="000B1818">
        <w:t xml:space="preserve">ith an </w:t>
      </w:r>
      <w:r>
        <w:t xml:space="preserve">MPP </w:t>
      </w:r>
      <w:r w:rsidR="000B1818">
        <w:t xml:space="preserve">that exceeded their </w:t>
      </w:r>
      <w:r>
        <w:t xml:space="preserve">MGB number, and </w:t>
      </w:r>
      <w:r w:rsidR="002B77FC">
        <w:t>441</w:t>
      </w:r>
      <w:r>
        <w:t xml:space="preserve"> retirees who</w:t>
      </w:r>
      <w:r w:rsidR="000B7FD5">
        <w:t xml:space="preserve"> qualif</w:t>
      </w:r>
      <w:r w:rsidR="001E6836">
        <w:t xml:space="preserve">ied </w:t>
      </w:r>
      <w:r w:rsidR="000B7FD5">
        <w:t>for s</w:t>
      </w:r>
      <w:r w:rsidR="00C53FD4">
        <w:t>ubsidy</w:t>
      </w:r>
      <w:r w:rsidR="00E551BD">
        <w:t xml:space="preserve">, for a total of </w:t>
      </w:r>
      <w:r w:rsidR="00F36E2C">
        <w:t>5</w:t>
      </w:r>
      <w:r w:rsidR="004A4A2E">
        <w:t>22</w:t>
      </w:r>
      <w:r w:rsidR="00C53FD4">
        <w:t>.</w:t>
      </w:r>
      <w:r w:rsidR="002068C2">
        <w:t xml:space="preserve">  </w:t>
      </w:r>
      <w:r w:rsidR="00F36E2C">
        <w:t>1</w:t>
      </w:r>
      <w:r w:rsidR="004A4A2E">
        <w:t>5</w:t>
      </w:r>
      <w:r w:rsidR="00F36E2C">
        <w:t>.</w:t>
      </w:r>
      <w:r w:rsidR="004A4A2E">
        <w:t>52</w:t>
      </w:r>
      <w:r w:rsidR="000D23A0">
        <w:t>%</w:t>
      </w:r>
      <w:r w:rsidR="002068C2">
        <w:t xml:space="preserve"> &amp; </w:t>
      </w:r>
      <w:r w:rsidR="00597B68">
        <w:t>8</w:t>
      </w:r>
      <w:r w:rsidR="004A4A2E">
        <w:t>4</w:t>
      </w:r>
      <w:r w:rsidR="00F36E2C">
        <w:t>.</w:t>
      </w:r>
      <w:r w:rsidR="004A4A2E">
        <w:t>48</w:t>
      </w:r>
      <w:r w:rsidR="000D23A0">
        <w:t>%</w:t>
      </w:r>
      <w:r w:rsidR="00AA49D9">
        <w:t>.</w:t>
      </w:r>
    </w:p>
    <w:p w14:paraId="32FD2288" w14:textId="05966E2C" w:rsidR="00AA49D9" w:rsidRDefault="00AA49D9" w:rsidP="00292170">
      <w:pPr>
        <w:pStyle w:val="ListParagraph"/>
        <w:numPr>
          <w:ilvl w:val="1"/>
          <w:numId w:val="2"/>
        </w:numPr>
        <w:jc w:val="both"/>
      </w:pPr>
      <w:r>
        <w:t xml:space="preserve">While this shows a slight improvement in MP pensions, </w:t>
      </w:r>
      <w:r w:rsidR="00983AA0">
        <w:t>pensions are still impacted by the large negative fund return loss of -16.84% in the 2021 / 2022 plan year.</w:t>
      </w:r>
    </w:p>
    <w:p w14:paraId="36C1B90A" w14:textId="798D94CF" w:rsidR="003B6DEA" w:rsidRDefault="003B6DEA" w:rsidP="00292170">
      <w:pPr>
        <w:pStyle w:val="ListParagraph"/>
        <w:numPr>
          <w:ilvl w:val="1"/>
          <w:numId w:val="2"/>
        </w:numPr>
        <w:jc w:val="both"/>
      </w:pPr>
      <w:r>
        <w:t>In the 20</w:t>
      </w:r>
      <w:r w:rsidR="00742C4D">
        <w:t>2</w:t>
      </w:r>
      <w:r w:rsidR="00F36E2C">
        <w:t>2/2023</w:t>
      </w:r>
      <w:r>
        <w:t xml:space="preserve"> year there were </w:t>
      </w:r>
      <w:r w:rsidR="004F1998">
        <w:t>28</w:t>
      </w:r>
      <w:r>
        <w:t xml:space="preserve"> retirements, </w:t>
      </w:r>
      <w:r w:rsidR="00383039">
        <w:t xml:space="preserve">compared to </w:t>
      </w:r>
      <w:r w:rsidR="00F756E9">
        <w:t>18</w:t>
      </w:r>
      <w:r>
        <w:t xml:space="preserve"> in the prior year</w:t>
      </w:r>
      <w:r w:rsidR="00383039">
        <w:t>.</w:t>
      </w:r>
    </w:p>
    <w:p w14:paraId="36C1B90B" w14:textId="77777777" w:rsidR="00C53FD4" w:rsidRDefault="00C53FD4" w:rsidP="00292170">
      <w:pPr>
        <w:ind w:left="1080"/>
        <w:jc w:val="both"/>
      </w:pPr>
    </w:p>
    <w:p w14:paraId="36C1B90C" w14:textId="165D2165" w:rsidR="00C53FD4" w:rsidRDefault="00C53FD4" w:rsidP="00292170">
      <w:pPr>
        <w:pStyle w:val="ListParagraph"/>
        <w:numPr>
          <w:ilvl w:val="0"/>
          <w:numId w:val="2"/>
        </w:numPr>
        <w:jc w:val="both"/>
      </w:pPr>
      <w:r>
        <w:t xml:space="preserve">The Annual Open Pension Meeting </w:t>
      </w:r>
      <w:r w:rsidR="002068C2">
        <w:t>w</w:t>
      </w:r>
      <w:r w:rsidR="000D23A0">
        <w:t>as held</w:t>
      </w:r>
      <w:r w:rsidR="0000309B">
        <w:t xml:space="preserve"> on </w:t>
      </w:r>
      <w:r w:rsidR="00F92AF2">
        <w:t xml:space="preserve">November </w:t>
      </w:r>
      <w:r w:rsidR="003922EA">
        <w:t>26</w:t>
      </w:r>
      <w:r w:rsidR="00057F8E">
        <w:t xml:space="preserve">, </w:t>
      </w:r>
      <w:r w:rsidR="00B84A6E">
        <w:t>202</w:t>
      </w:r>
      <w:r w:rsidR="003922EA">
        <w:t>4</w:t>
      </w:r>
      <w:r w:rsidR="00B84A6E">
        <w:t>,</w:t>
      </w:r>
      <w:r w:rsidR="00F92AF2">
        <w:t xml:space="preserve"> </w:t>
      </w:r>
      <w:r w:rsidR="00BE1FB9">
        <w:t xml:space="preserve">through MS Teams for </w:t>
      </w:r>
      <w:r w:rsidR="003922EA">
        <w:t>everyone</w:t>
      </w:r>
      <w:r w:rsidR="00BE1FB9">
        <w:t xml:space="preserve">.  </w:t>
      </w:r>
      <w:r w:rsidR="00EC5926">
        <w:t xml:space="preserve">The </w:t>
      </w:r>
      <w:r w:rsidR="0071406C">
        <w:t xml:space="preserve">presentation video </w:t>
      </w:r>
      <w:r w:rsidR="00D5438E">
        <w:t xml:space="preserve">is now posted </w:t>
      </w:r>
      <w:r w:rsidR="0071406C">
        <w:t>on the Pensions website</w:t>
      </w:r>
      <w:r w:rsidR="0069389A">
        <w:t xml:space="preserve">. </w:t>
      </w:r>
      <w:r w:rsidR="00F064B2">
        <w:t xml:space="preserve">The </w:t>
      </w:r>
      <w:r w:rsidR="0069389A">
        <w:t xml:space="preserve">hardcopy </w:t>
      </w:r>
      <w:r w:rsidR="00F064B2">
        <w:t xml:space="preserve">presentation can be found at:  </w:t>
      </w:r>
      <w:hyperlink r:id="rId8" w:history="1">
        <w:r w:rsidR="003B14BE" w:rsidRPr="003B14BE">
          <w:rPr>
            <w:rStyle w:val="Hyperlink"/>
          </w:rPr>
          <w:t>Faculty and Employee Plans - Open Pension Meetings | Human Resources</w:t>
        </w:r>
      </w:hyperlink>
    </w:p>
    <w:p w14:paraId="36C1B90D" w14:textId="77777777" w:rsidR="00C53FD4" w:rsidRDefault="00C53FD4" w:rsidP="00292170">
      <w:pPr>
        <w:pStyle w:val="ListParagraph"/>
        <w:jc w:val="both"/>
      </w:pPr>
    </w:p>
    <w:p w14:paraId="36C1B90E" w14:textId="0F181C9F" w:rsidR="00F064B2" w:rsidRPr="00433508" w:rsidRDefault="002068C2" w:rsidP="00292170">
      <w:pPr>
        <w:pStyle w:val="ListParagraph"/>
        <w:numPr>
          <w:ilvl w:val="0"/>
          <w:numId w:val="2"/>
        </w:numPr>
        <w:tabs>
          <w:tab w:val="left" w:pos="360"/>
        </w:tabs>
        <w:jc w:val="both"/>
      </w:pPr>
      <w:r w:rsidRPr="00433508">
        <w:t xml:space="preserve">As of </w:t>
      </w:r>
      <w:r w:rsidR="00FA6BEB" w:rsidRPr="00433508">
        <w:t>June</w:t>
      </w:r>
      <w:r w:rsidRPr="00433508">
        <w:t xml:space="preserve"> 30, </w:t>
      </w:r>
      <w:r w:rsidR="00EF110D" w:rsidRPr="00433508">
        <w:t>2024,</w:t>
      </w:r>
      <w:r w:rsidRPr="00433508">
        <w:t xml:space="preserve"> the </w:t>
      </w:r>
      <w:r w:rsidR="00336AB1" w:rsidRPr="00433508">
        <w:t>one-year</w:t>
      </w:r>
      <w:r w:rsidRPr="00433508">
        <w:t xml:space="preserve"> Pension Fund Return was</w:t>
      </w:r>
      <w:r w:rsidR="003B1301" w:rsidRPr="00433508">
        <w:t xml:space="preserve"> </w:t>
      </w:r>
      <w:r w:rsidR="00FB08C1" w:rsidRPr="00433508">
        <w:t>9</w:t>
      </w:r>
      <w:r w:rsidR="00F82EAA" w:rsidRPr="00433508">
        <w:t>.1</w:t>
      </w:r>
      <w:r w:rsidR="00E551BD" w:rsidRPr="00433508">
        <w:t>%</w:t>
      </w:r>
      <w:r w:rsidR="00510316" w:rsidRPr="00433508">
        <w:t xml:space="preserve">, September </w:t>
      </w:r>
      <w:r w:rsidR="00F61558" w:rsidRPr="00433508">
        <w:t xml:space="preserve">30, </w:t>
      </w:r>
      <w:r w:rsidR="00336AB1" w:rsidRPr="00433508">
        <w:t>2024,</w:t>
      </w:r>
      <w:r w:rsidR="00F61558" w:rsidRPr="00433508">
        <w:t xml:space="preserve"> </w:t>
      </w:r>
      <w:r w:rsidR="00055EDF">
        <w:t>is under the review</w:t>
      </w:r>
      <w:r w:rsidR="00F61558" w:rsidRPr="00433508">
        <w:t>.</w:t>
      </w:r>
    </w:p>
    <w:p w14:paraId="0748CF42" w14:textId="77777777" w:rsidR="007044ED" w:rsidRDefault="007044ED" w:rsidP="00292170">
      <w:pPr>
        <w:pStyle w:val="ListParagraph"/>
        <w:jc w:val="both"/>
      </w:pPr>
    </w:p>
    <w:p w14:paraId="709D2F4F" w14:textId="5C146EA7" w:rsidR="007044ED" w:rsidRPr="003C5EA7" w:rsidRDefault="007044ED" w:rsidP="00292170">
      <w:pPr>
        <w:pStyle w:val="ListParagraph"/>
        <w:numPr>
          <w:ilvl w:val="0"/>
          <w:numId w:val="2"/>
        </w:numPr>
        <w:tabs>
          <w:tab w:val="left" w:pos="360"/>
        </w:tabs>
        <w:jc w:val="both"/>
      </w:pPr>
      <w:r>
        <w:t xml:space="preserve">The University and the D2 Committee have been meeting to </w:t>
      </w:r>
      <w:r w:rsidR="005F2669">
        <w:t xml:space="preserve">explore and </w:t>
      </w:r>
      <w:r>
        <w:t xml:space="preserve">learn more about the </w:t>
      </w:r>
      <w:r w:rsidR="005F2669">
        <w:t xml:space="preserve">new </w:t>
      </w:r>
      <w:r>
        <w:t>University</w:t>
      </w:r>
      <w:r w:rsidR="00C15C6C">
        <w:t xml:space="preserve"> Pension Plan of </w:t>
      </w:r>
      <w:r w:rsidR="00455E57">
        <w:t>Ontario</w:t>
      </w:r>
      <w:r w:rsidR="00FC4BB6">
        <w:t xml:space="preserve">.  </w:t>
      </w:r>
      <w:r w:rsidR="00C15C6C">
        <w:t xml:space="preserve"> U</w:t>
      </w:r>
      <w:r w:rsidR="00455E57">
        <w:t xml:space="preserve"> </w:t>
      </w:r>
      <w:r w:rsidR="00C15C6C">
        <w:t>of</w:t>
      </w:r>
      <w:r w:rsidR="00455E57">
        <w:t xml:space="preserve"> </w:t>
      </w:r>
      <w:r w:rsidR="00C15C6C">
        <w:t>T, Guelp</w:t>
      </w:r>
      <w:r w:rsidR="005F2669">
        <w:t>h</w:t>
      </w:r>
      <w:r w:rsidR="00C15C6C">
        <w:t xml:space="preserve">, Queens and Trent are now </w:t>
      </w:r>
      <w:r w:rsidR="00ED01E1">
        <w:t xml:space="preserve">participating universities. </w:t>
      </w:r>
      <w:r w:rsidR="00ED01E1" w:rsidRPr="003C5EA7">
        <w:t xml:space="preserve">Dr. </w:t>
      </w:r>
      <w:proofErr w:type="spellStart"/>
      <w:r w:rsidR="00ED01E1" w:rsidRPr="003C5EA7">
        <w:t>Stebelsky</w:t>
      </w:r>
      <w:proofErr w:type="spellEnd"/>
      <w:r w:rsidR="00ED01E1" w:rsidRPr="003C5EA7">
        <w:t xml:space="preserve"> is part of the committee</w:t>
      </w:r>
      <w:r w:rsidR="0077213A" w:rsidRPr="003C5EA7">
        <w:t xml:space="preserve"> and has been active in his questions and </w:t>
      </w:r>
      <w:r w:rsidR="00FC4BB6" w:rsidRPr="003C5EA7">
        <w:t xml:space="preserve">representation </w:t>
      </w:r>
      <w:r w:rsidR="0077213A" w:rsidRPr="003C5EA7">
        <w:t>on behalf of the faculty retirees.</w:t>
      </w:r>
      <w:r w:rsidR="00FC4BB6" w:rsidRPr="003C5EA7">
        <w:t xml:space="preserve"> </w:t>
      </w:r>
    </w:p>
    <w:p w14:paraId="49E8E82D" w14:textId="77777777" w:rsidR="00420795" w:rsidRPr="003C5EA7" w:rsidRDefault="00420795" w:rsidP="00292170">
      <w:pPr>
        <w:pStyle w:val="ListParagraph"/>
        <w:jc w:val="both"/>
      </w:pPr>
    </w:p>
    <w:p w14:paraId="594F1517" w14:textId="1DB8906E" w:rsidR="00420795" w:rsidRDefault="00420795" w:rsidP="00292170">
      <w:pPr>
        <w:pStyle w:val="ListParagraph"/>
        <w:numPr>
          <w:ilvl w:val="0"/>
          <w:numId w:val="2"/>
        </w:numPr>
        <w:tabs>
          <w:tab w:val="left" w:pos="360"/>
        </w:tabs>
        <w:jc w:val="both"/>
      </w:pPr>
      <w:r w:rsidRPr="003C5EA7">
        <w:t xml:space="preserve">Over the past year, </w:t>
      </w:r>
      <w:r w:rsidR="003C36CB" w:rsidRPr="003C5EA7">
        <w:t>our</w:t>
      </w:r>
      <w:r w:rsidRPr="003C5EA7">
        <w:t xml:space="preserve"> area, with </w:t>
      </w:r>
      <w:r w:rsidR="00B7171A" w:rsidRPr="003C5EA7">
        <w:t xml:space="preserve">wonderful </w:t>
      </w:r>
      <w:r w:rsidRPr="003C5EA7">
        <w:t>support from finance (Rachel McRae</w:t>
      </w:r>
      <w:r w:rsidR="00A32EBC" w:rsidRPr="003C5EA7">
        <w:t xml:space="preserve">) and legal (William Ma) embarked on a large project to update and restate both the Employees Retirement Plan Text </w:t>
      </w:r>
      <w:r w:rsidR="00A20D49" w:rsidRPr="003C5EA7">
        <w:t xml:space="preserve">(ERP) </w:t>
      </w:r>
      <w:r w:rsidR="00A32EBC" w:rsidRPr="003C5EA7">
        <w:t>and the Faculty Plan Text</w:t>
      </w:r>
      <w:r w:rsidR="00A20D49" w:rsidRPr="003C5EA7">
        <w:t xml:space="preserve"> (FCO)</w:t>
      </w:r>
      <w:r w:rsidR="00A32EBC" w:rsidRPr="003C5EA7">
        <w:t xml:space="preserve">.  </w:t>
      </w:r>
      <w:r w:rsidR="00A20D49" w:rsidRPr="003C5EA7">
        <w:t>We are almost through ERP and have begun work on FCO</w:t>
      </w:r>
      <w:r w:rsidR="006E1935" w:rsidRPr="003C5EA7">
        <w:t xml:space="preserve">. The work is done using a Phase I, II and restatement </w:t>
      </w:r>
      <w:r w:rsidR="00B7171A" w:rsidRPr="003C5EA7">
        <w:t xml:space="preserve">approach </w:t>
      </w:r>
      <w:r w:rsidR="006E1935" w:rsidRPr="003C5EA7">
        <w:t>and will result in completely updated Plan texts</w:t>
      </w:r>
      <w:r w:rsidR="00B7171A" w:rsidRPr="003C5EA7">
        <w:t xml:space="preserve"> by next Fall 202</w:t>
      </w:r>
      <w:r w:rsidR="008A7607" w:rsidRPr="003C5EA7">
        <w:t>5</w:t>
      </w:r>
      <w:r w:rsidR="00B7171A" w:rsidRPr="003C5EA7">
        <w:t>.  The last time the Plan Texts</w:t>
      </w:r>
      <w:r w:rsidR="00B7171A">
        <w:t xml:space="preserve"> were updated was in 2003/2004.</w:t>
      </w:r>
    </w:p>
    <w:p w14:paraId="47F38409" w14:textId="77777777" w:rsidR="000A610E" w:rsidRDefault="000A610E" w:rsidP="00292170">
      <w:pPr>
        <w:pStyle w:val="ListParagraph"/>
        <w:jc w:val="both"/>
      </w:pPr>
    </w:p>
    <w:p w14:paraId="7BDC27E5" w14:textId="77777777" w:rsidR="000A610E" w:rsidRDefault="000A610E" w:rsidP="00292170">
      <w:pPr>
        <w:tabs>
          <w:tab w:val="left" w:pos="360"/>
        </w:tabs>
        <w:jc w:val="both"/>
      </w:pPr>
    </w:p>
    <w:p w14:paraId="333E3E8E" w14:textId="77777777" w:rsidR="000A610E" w:rsidRDefault="000A610E" w:rsidP="00292170">
      <w:pPr>
        <w:tabs>
          <w:tab w:val="left" w:pos="360"/>
        </w:tabs>
        <w:jc w:val="both"/>
      </w:pPr>
    </w:p>
    <w:p w14:paraId="1BB9911F" w14:textId="60564BFE" w:rsidR="009B2400" w:rsidRPr="001B17FC" w:rsidRDefault="000A610E" w:rsidP="00292170">
      <w:pPr>
        <w:tabs>
          <w:tab w:val="left" w:pos="7185"/>
        </w:tabs>
        <w:jc w:val="both"/>
        <w:rPr>
          <w:b/>
          <w:bCs/>
        </w:rPr>
      </w:pPr>
      <w:r>
        <w:rPr>
          <w:b/>
          <w:bCs/>
        </w:rPr>
        <w:t>BENEFITS REPORT:</w:t>
      </w:r>
    </w:p>
    <w:p w14:paraId="00520097" w14:textId="1DBE981F" w:rsidR="00A97C17" w:rsidRDefault="00FA32A6" w:rsidP="00292170">
      <w:pPr>
        <w:jc w:val="both"/>
      </w:pPr>
      <w:r w:rsidRPr="00FF43AC">
        <w:lastRenderedPageBreak/>
        <w:t>For the upcoming Green Shield Benefits premium renewal</w:t>
      </w:r>
      <w:r w:rsidR="00FF43AC">
        <w:t xml:space="preserve"> for year 2025</w:t>
      </w:r>
      <w:r w:rsidRPr="00FF43AC">
        <w:t>, WURA is reviewing benefits cost and summary</w:t>
      </w:r>
      <w:r>
        <w:t xml:space="preserve"> </w:t>
      </w:r>
      <w:r w:rsidR="00FF43AC">
        <w:t xml:space="preserve">to see if any changes </w:t>
      </w:r>
      <w:r w:rsidR="00832654">
        <w:t>need</w:t>
      </w:r>
      <w:r w:rsidR="00FF43AC">
        <w:t xml:space="preserve"> to be made</w:t>
      </w:r>
      <w:r w:rsidR="00E565FB">
        <w:t xml:space="preserve">.  </w:t>
      </w:r>
      <w:r w:rsidR="00A00CBB">
        <w:t>Brittany Rife</w:t>
      </w:r>
      <w:r w:rsidR="009000A9">
        <w:t xml:space="preserve"> is in contact with WURA to get all needed information</w:t>
      </w:r>
      <w:r w:rsidR="002A5C57">
        <w:t xml:space="preserve"> to make the final decision about any further Benefits changes</w:t>
      </w:r>
      <w:r w:rsidR="009000A9">
        <w:t>.</w:t>
      </w:r>
    </w:p>
    <w:p w14:paraId="066ABB51" w14:textId="77777777" w:rsidR="003B44A5" w:rsidRDefault="003B44A5" w:rsidP="00C53FD4"/>
    <w:p w14:paraId="7558923D" w14:textId="0EFA61B3" w:rsidR="005E0635" w:rsidRPr="008A6447" w:rsidRDefault="005E0635" w:rsidP="00C53FD4">
      <w:pPr>
        <w:rPr>
          <w:b/>
          <w:bCs/>
        </w:rPr>
      </w:pPr>
      <w:r w:rsidRPr="008A6447">
        <w:rPr>
          <w:b/>
          <w:bCs/>
        </w:rPr>
        <w:t>Current Faculty Retiree GS Premiums:</w:t>
      </w:r>
    </w:p>
    <w:p w14:paraId="5347E9E0" w14:textId="1FD955A1" w:rsidR="005E0635" w:rsidRDefault="008C11F1" w:rsidP="00C53FD4">
      <w:r w:rsidRPr="008C11F1">
        <w:rPr>
          <w:noProof/>
        </w:rPr>
        <w:drawing>
          <wp:inline distT="0" distB="0" distL="0" distR="0" wp14:anchorId="2029979F" wp14:editId="2E7028C8">
            <wp:extent cx="6309360" cy="2538095"/>
            <wp:effectExtent l="0" t="0" r="0" b="0"/>
            <wp:docPr id="2073327156" name="Picture 1"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27156" name="Picture 1" descr="A table with numbers and symbols&#10;&#10;Description automatically generated"/>
                    <pic:cNvPicPr/>
                  </pic:nvPicPr>
                  <pic:blipFill>
                    <a:blip r:embed="rId9"/>
                    <a:stretch>
                      <a:fillRect/>
                    </a:stretch>
                  </pic:blipFill>
                  <pic:spPr>
                    <a:xfrm>
                      <a:off x="0" y="0"/>
                      <a:ext cx="6309360" cy="2538095"/>
                    </a:xfrm>
                    <a:prstGeom prst="rect">
                      <a:avLst/>
                    </a:prstGeom>
                  </pic:spPr>
                </pic:pic>
              </a:graphicData>
            </a:graphic>
          </wp:inline>
        </w:drawing>
      </w:r>
    </w:p>
    <w:p w14:paraId="5AAB20DA" w14:textId="610CD4AD" w:rsidR="000A610E" w:rsidRPr="00F65CB9" w:rsidRDefault="000A610E" w:rsidP="00292170">
      <w:pPr>
        <w:jc w:val="both"/>
        <w:rPr>
          <w:b/>
          <w:bCs/>
        </w:rPr>
      </w:pPr>
      <w:r w:rsidRPr="00F65CB9">
        <w:rPr>
          <w:b/>
          <w:bCs/>
        </w:rPr>
        <w:t>RETIREE HEALTH CARE SUBSIDY:</w:t>
      </w:r>
    </w:p>
    <w:p w14:paraId="2ECD3D80" w14:textId="71DEA4EE" w:rsidR="00A40CD5" w:rsidRPr="001A24AE" w:rsidRDefault="00871246" w:rsidP="00292170">
      <w:pPr>
        <w:jc w:val="both"/>
        <w:rPr>
          <w:highlight w:val="yellow"/>
        </w:rPr>
      </w:pPr>
      <w:r w:rsidRPr="009E7528">
        <w:t>At April 30, 202</w:t>
      </w:r>
      <w:r w:rsidR="00FD0294" w:rsidRPr="009E7528">
        <w:t>4</w:t>
      </w:r>
      <w:r w:rsidRPr="009E7528">
        <w:t xml:space="preserve"> </w:t>
      </w:r>
      <w:r w:rsidR="002E2E9F" w:rsidRPr="009E7528">
        <w:t>the Fund held a total of $5,</w:t>
      </w:r>
      <w:r w:rsidR="00F85BBA" w:rsidRPr="009E7528">
        <w:t>999</w:t>
      </w:r>
      <w:r w:rsidR="002E2E9F" w:rsidRPr="009E7528">
        <w:t>,</w:t>
      </w:r>
      <w:r w:rsidR="00F85BBA" w:rsidRPr="009E7528">
        <w:t>762</w:t>
      </w:r>
      <w:r w:rsidR="002E2E9F" w:rsidRPr="009E7528">
        <w:t xml:space="preserve"> and the Expend</w:t>
      </w:r>
      <w:r w:rsidR="0022089A" w:rsidRPr="009E7528">
        <w:t>able held a total of $1,</w:t>
      </w:r>
      <w:r w:rsidR="004F5701" w:rsidRPr="009E7528">
        <w:t>046</w:t>
      </w:r>
      <w:r w:rsidR="0022089A" w:rsidRPr="009E7528">
        <w:t>,</w:t>
      </w:r>
      <w:r w:rsidR="004F5701" w:rsidRPr="009E7528">
        <w:t>747</w:t>
      </w:r>
      <w:r w:rsidR="0022089A" w:rsidRPr="009E7528">
        <w:t xml:space="preserve"> for a </w:t>
      </w:r>
      <w:r w:rsidR="0022089A" w:rsidRPr="009E7528">
        <w:br/>
        <w:t>total of $</w:t>
      </w:r>
      <w:r w:rsidR="004F5701" w:rsidRPr="009E7528">
        <w:t>7</w:t>
      </w:r>
      <w:r w:rsidR="0022089A" w:rsidRPr="009E7528">
        <w:t>,</w:t>
      </w:r>
      <w:r w:rsidR="004F5701" w:rsidRPr="009E7528">
        <w:t>146</w:t>
      </w:r>
      <w:r w:rsidR="0022089A" w:rsidRPr="009E7528">
        <w:t>,</w:t>
      </w:r>
      <w:r w:rsidR="004F5701" w:rsidRPr="009E7528">
        <w:t>509</w:t>
      </w:r>
      <w:r w:rsidR="0022089A" w:rsidRPr="009E7528">
        <w:t xml:space="preserve">.  </w:t>
      </w:r>
      <w:r w:rsidR="00B80FA2" w:rsidRPr="00D51D24">
        <w:t>This resulted in a health care sub</w:t>
      </w:r>
      <w:r w:rsidR="00A40CD5" w:rsidRPr="00D51D24">
        <w:t>s</w:t>
      </w:r>
      <w:r w:rsidR="00B80FA2" w:rsidRPr="00D51D24">
        <w:t>idy of $</w:t>
      </w:r>
      <w:r w:rsidR="00F32C84" w:rsidRPr="00D51D24">
        <w:t>64</w:t>
      </w:r>
      <w:r w:rsidR="00B80FA2" w:rsidRPr="00D51D24">
        <w:t>.</w:t>
      </w:r>
      <w:r w:rsidR="00D51D24" w:rsidRPr="00D51D24">
        <w:t>85</w:t>
      </w:r>
      <w:r w:rsidR="00B80FA2" w:rsidRPr="00D51D24">
        <w:t xml:space="preserve"> per year of pension service</w:t>
      </w:r>
      <w:r w:rsidR="00A40CD5" w:rsidRPr="00F035C0">
        <w:t xml:space="preserve">. </w:t>
      </w:r>
    </w:p>
    <w:p w14:paraId="649BCB0E" w14:textId="1473E557" w:rsidR="00A40CD5" w:rsidRPr="001A24AE" w:rsidRDefault="00A40CD5" w:rsidP="00292170">
      <w:pPr>
        <w:jc w:val="both"/>
        <w:rPr>
          <w:highlight w:val="yellow"/>
        </w:rPr>
      </w:pPr>
      <w:r w:rsidRPr="008F35DA">
        <w:t>Example: with 30 years pension service = $1</w:t>
      </w:r>
      <w:r w:rsidR="008F35DA" w:rsidRPr="008F35DA">
        <w:t>62</w:t>
      </w:r>
      <w:r w:rsidRPr="008F35DA">
        <w:t>.</w:t>
      </w:r>
      <w:r w:rsidR="008F35DA" w:rsidRPr="008F35DA">
        <w:t>13</w:t>
      </w:r>
      <w:r w:rsidRPr="008F35DA">
        <w:t xml:space="preserve"> per month subsidy</w:t>
      </w:r>
    </w:p>
    <w:p w14:paraId="0F69504D" w14:textId="764BB328" w:rsidR="00F65CB9" w:rsidRPr="00C82626" w:rsidRDefault="00A40CD5" w:rsidP="00292170">
      <w:pPr>
        <w:jc w:val="both"/>
      </w:pPr>
      <w:r w:rsidRPr="00C82626">
        <w:t>Example: with 35 years pension service = $1</w:t>
      </w:r>
      <w:r w:rsidR="00D9550B" w:rsidRPr="00C82626">
        <w:t>89</w:t>
      </w:r>
      <w:r w:rsidRPr="00C82626">
        <w:t>.</w:t>
      </w:r>
      <w:r w:rsidR="00C82626" w:rsidRPr="00C82626">
        <w:t>15</w:t>
      </w:r>
      <w:r w:rsidR="00F65CB9" w:rsidRPr="00C82626">
        <w:t xml:space="preserve"> per month subsidy</w:t>
      </w:r>
    </w:p>
    <w:p w14:paraId="68C17EBD" w14:textId="77777777" w:rsidR="001C51C7" w:rsidRDefault="001C51C7" w:rsidP="00292170">
      <w:pPr>
        <w:jc w:val="both"/>
      </w:pPr>
    </w:p>
    <w:p w14:paraId="71971CC2" w14:textId="0158BDC4" w:rsidR="0022089A" w:rsidRDefault="001C51C7" w:rsidP="00292170">
      <w:pPr>
        <w:jc w:val="both"/>
      </w:pPr>
      <w:r w:rsidRPr="001C51C7">
        <w:t xml:space="preserve">As of May 24, 2024, there was an amendment made to the </w:t>
      </w:r>
      <w:r w:rsidRPr="001C51C7">
        <w:t>Retiree</w:t>
      </w:r>
      <w:r w:rsidRPr="001C51C7">
        <w:t xml:space="preserve"> Healthcare Subside Agreement that was agreed up by both WURA and WUFA to align the investment of the healthcare subsidy and the administration of the expendable account with the endowment investment Statement of Investment Policies monitored by the Investment Committee.  The fund will be administered in the same way as our regular endowment funds including a growth and protection fund.  Annual reporting will remain the same with the amount of the annual premium being notified to members and calculated the same</w:t>
      </w:r>
    </w:p>
    <w:sectPr w:rsidR="0022089A" w:rsidSect="00920E40">
      <w:pgSz w:w="12240" w:h="15840"/>
      <w:pgMar w:top="1008"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CFD"/>
    <w:multiLevelType w:val="hybridMultilevel"/>
    <w:tmpl w:val="BE764B3A"/>
    <w:lvl w:ilvl="0" w:tplc="0C72D1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5D6199"/>
    <w:multiLevelType w:val="hybridMultilevel"/>
    <w:tmpl w:val="E69C7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C4444B"/>
    <w:multiLevelType w:val="hybridMultilevel"/>
    <w:tmpl w:val="1FF0A08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993BEA"/>
    <w:multiLevelType w:val="hybridMultilevel"/>
    <w:tmpl w:val="76FE4A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FC97B84"/>
    <w:multiLevelType w:val="hybridMultilevel"/>
    <w:tmpl w:val="B5C256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827697F"/>
    <w:multiLevelType w:val="hybridMultilevel"/>
    <w:tmpl w:val="717E7F1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87F01AB"/>
    <w:multiLevelType w:val="hybridMultilevel"/>
    <w:tmpl w:val="554A93A2"/>
    <w:lvl w:ilvl="0" w:tplc="0C72D1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87524FD"/>
    <w:multiLevelType w:val="hybridMultilevel"/>
    <w:tmpl w:val="8E7482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152E48"/>
    <w:multiLevelType w:val="hybridMultilevel"/>
    <w:tmpl w:val="538C7FCA"/>
    <w:lvl w:ilvl="0" w:tplc="FCDC3F8E">
      <w:start w:val="1"/>
      <w:numFmt w:val="bullet"/>
      <w:lvlText w:val=""/>
      <w:lvlJc w:val="left"/>
      <w:pPr>
        <w:tabs>
          <w:tab w:val="num" w:pos="720"/>
        </w:tabs>
        <w:ind w:left="720" w:hanging="360"/>
      </w:pPr>
      <w:rPr>
        <w:rFonts w:ascii="Wingdings" w:hAnsi="Wingdings" w:hint="default"/>
      </w:rPr>
    </w:lvl>
    <w:lvl w:ilvl="1" w:tplc="B3F672EE">
      <w:numFmt w:val="bullet"/>
      <w:lvlText w:val=""/>
      <w:lvlJc w:val="left"/>
      <w:pPr>
        <w:tabs>
          <w:tab w:val="num" w:pos="1440"/>
        </w:tabs>
        <w:ind w:left="1440" w:hanging="360"/>
      </w:pPr>
      <w:rPr>
        <w:rFonts w:ascii="Wingdings" w:hAnsi="Wingdings" w:hint="default"/>
      </w:rPr>
    </w:lvl>
    <w:lvl w:ilvl="2" w:tplc="A9969492">
      <w:start w:val="1"/>
      <w:numFmt w:val="bullet"/>
      <w:lvlText w:val=""/>
      <w:lvlJc w:val="left"/>
      <w:pPr>
        <w:tabs>
          <w:tab w:val="num" w:pos="2160"/>
        </w:tabs>
        <w:ind w:left="2160" w:hanging="360"/>
      </w:pPr>
      <w:rPr>
        <w:rFonts w:ascii="Wingdings" w:hAnsi="Wingdings" w:hint="default"/>
      </w:rPr>
    </w:lvl>
    <w:lvl w:ilvl="3" w:tplc="3926B1B6">
      <w:start w:val="1"/>
      <w:numFmt w:val="bullet"/>
      <w:lvlText w:val=""/>
      <w:lvlJc w:val="left"/>
      <w:pPr>
        <w:tabs>
          <w:tab w:val="num" w:pos="2880"/>
        </w:tabs>
        <w:ind w:left="2880" w:hanging="360"/>
      </w:pPr>
      <w:rPr>
        <w:rFonts w:ascii="Wingdings" w:hAnsi="Wingdings" w:hint="default"/>
      </w:rPr>
    </w:lvl>
    <w:lvl w:ilvl="4" w:tplc="023CF7D8">
      <w:start w:val="1"/>
      <w:numFmt w:val="bullet"/>
      <w:lvlText w:val=""/>
      <w:lvlJc w:val="left"/>
      <w:pPr>
        <w:tabs>
          <w:tab w:val="num" w:pos="3600"/>
        </w:tabs>
        <w:ind w:left="3600" w:hanging="360"/>
      </w:pPr>
      <w:rPr>
        <w:rFonts w:ascii="Wingdings" w:hAnsi="Wingdings" w:hint="default"/>
      </w:rPr>
    </w:lvl>
    <w:lvl w:ilvl="5" w:tplc="B53C424A">
      <w:start w:val="1"/>
      <w:numFmt w:val="bullet"/>
      <w:lvlText w:val=""/>
      <w:lvlJc w:val="left"/>
      <w:pPr>
        <w:tabs>
          <w:tab w:val="num" w:pos="4320"/>
        </w:tabs>
        <w:ind w:left="4320" w:hanging="360"/>
      </w:pPr>
      <w:rPr>
        <w:rFonts w:ascii="Wingdings" w:hAnsi="Wingdings" w:hint="default"/>
      </w:rPr>
    </w:lvl>
    <w:lvl w:ilvl="6" w:tplc="706C7302">
      <w:start w:val="1"/>
      <w:numFmt w:val="bullet"/>
      <w:lvlText w:val=""/>
      <w:lvlJc w:val="left"/>
      <w:pPr>
        <w:tabs>
          <w:tab w:val="num" w:pos="5040"/>
        </w:tabs>
        <w:ind w:left="5040" w:hanging="360"/>
      </w:pPr>
      <w:rPr>
        <w:rFonts w:ascii="Wingdings" w:hAnsi="Wingdings" w:hint="default"/>
      </w:rPr>
    </w:lvl>
    <w:lvl w:ilvl="7" w:tplc="7FA423CC">
      <w:start w:val="1"/>
      <w:numFmt w:val="bullet"/>
      <w:lvlText w:val=""/>
      <w:lvlJc w:val="left"/>
      <w:pPr>
        <w:tabs>
          <w:tab w:val="num" w:pos="5760"/>
        </w:tabs>
        <w:ind w:left="5760" w:hanging="360"/>
      </w:pPr>
      <w:rPr>
        <w:rFonts w:ascii="Wingdings" w:hAnsi="Wingdings" w:hint="default"/>
      </w:rPr>
    </w:lvl>
    <w:lvl w:ilvl="8" w:tplc="9976BD1E">
      <w:start w:val="1"/>
      <w:numFmt w:val="bullet"/>
      <w:lvlText w:val=""/>
      <w:lvlJc w:val="left"/>
      <w:pPr>
        <w:tabs>
          <w:tab w:val="num" w:pos="6480"/>
        </w:tabs>
        <w:ind w:left="6480" w:hanging="360"/>
      </w:pPr>
      <w:rPr>
        <w:rFonts w:ascii="Wingdings" w:hAnsi="Wingdings" w:hint="default"/>
      </w:rPr>
    </w:lvl>
  </w:abstractNum>
  <w:num w:numId="1" w16cid:durableId="1047802280">
    <w:abstractNumId w:val="2"/>
  </w:num>
  <w:num w:numId="2" w16cid:durableId="1831015503">
    <w:abstractNumId w:val="5"/>
  </w:num>
  <w:num w:numId="3" w16cid:durableId="2109807217">
    <w:abstractNumId w:val="7"/>
  </w:num>
  <w:num w:numId="4" w16cid:durableId="1732072422">
    <w:abstractNumId w:val="1"/>
  </w:num>
  <w:num w:numId="5" w16cid:durableId="817234571">
    <w:abstractNumId w:val="3"/>
  </w:num>
  <w:num w:numId="6" w16cid:durableId="456031402">
    <w:abstractNumId w:val="4"/>
  </w:num>
  <w:num w:numId="7" w16cid:durableId="1458599331">
    <w:abstractNumId w:val="6"/>
  </w:num>
  <w:num w:numId="8" w16cid:durableId="2057005626">
    <w:abstractNumId w:val="0"/>
  </w:num>
  <w:num w:numId="9" w16cid:durableId="842204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0DA"/>
    <w:rsid w:val="0000309B"/>
    <w:rsid w:val="00012283"/>
    <w:rsid w:val="000258BA"/>
    <w:rsid w:val="00045622"/>
    <w:rsid w:val="00055EDF"/>
    <w:rsid w:val="000569AC"/>
    <w:rsid w:val="00057F8E"/>
    <w:rsid w:val="0007342D"/>
    <w:rsid w:val="0009342E"/>
    <w:rsid w:val="00094AAF"/>
    <w:rsid w:val="00095814"/>
    <w:rsid w:val="000A3D17"/>
    <w:rsid w:val="000A610E"/>
    <w:rsid w:val="000B1818"/>
    <w:rsid w:val="000B7FD5"/>
    <w:rsid w:val="000D23A0"/>
    <w:rsid w:val="000E1DEC"/>
    <w:rsid w:val="000E4F84"/>
    <w:rsid w:val="0013568A"/>
    <w:rsid w:val="00144592"/>
    <w:rsid w:val="00151BCB"/>
    <w:rsid w:val="00157AB4"/>
    <w:rsid w:val="001640E7"/>
    <w:rsid w:val="00171B4A"/>
    <w:rsid w:val="0019359D"/>
    <w:rsid w:val="00194973"/>
    <w:rsid w:val="001A24AE"/>
    <w:rsid w:val="001B17FC"/>
    <w:rsid w:val="001B28FC"/>
    <w:rsid w:val="001B4482"/>
    <w:rsid w:val="001C51C7"/>
    <w:rsid w:val="001E6836"/>
    <w:rsid w:val="001E68DF"/>
    <w:rsid w:val="001E6D96"/>
    <w:rsid w:val="001E7430"/>
    <w:rsid w:val="002068C2"/>
    <w:rsid w:val="00206EDE"/>
    <w:rsid w:val="00210019"/>
    <w:rsid w:val="0021057F"/>
    <w:rsid w:val="0022089A"/>
    <w:rsid w:val="00232AD2"/>
    <w:rsid w:val="002379F7"/>
    <w:rsid w:val="00262655"/>
    <w:rsid w:val="002656A3"/>
    <w:rsid w:val="002662CD"/>
    <w:rsid w:val="00267CFF"/>
    <w:rsid w:val="002744E5"/>
    <w:rsid w:val="00292170"/>
    <w:rsid w:val="002A5C57"/>
    <w:rsid w:val="002B250E"/>
    <w:rsid w:val="002B39B2"/>
    <w:rsid w:val="002B4CAB"/>
    <w:rsid w:val="002B6B74"/>
    <w:rsid w:val="002B77FC"/>
    <w:rsid w:val="002C57A1"/>
    <w:rsid w:val="002C68D3"/>
    <w:rsid w:val="002D6CC2"/>
    <w:rsid w:val="002E2E9F"/>
    <w:rsid w:val="002E785F"/>
    <w:rsid w:val="002F2CFF"/>
    <w:rsid w:val="00313CC9"/>
    <w:rsid w:val="00320760"/>
    <w:rsid w:val="003239E0"/>
    <w:rsid w:val="0033005E"/>
    <w:rsid w:val="003350DA"/>
    <w:rsid w:val="00336AB1"/>
    <w:rsid w:val="00372618"/>
    <w:rsid w:val="00373301"/>
    <w:rsid w:val="0038155A"/>
    <w:rsid w:val="00383039"/>
    <w:rsid w:val="003922EA"/>
    <w:rsid w:val="003A2743"/>
    <w:rsid w:val="003A3068"/>
    <w:rsid w:val="003A4973"/>
    <w:rsid w:val="003B1301"/>
    <w:rsid w:val="003B14BE"/>
    <w:rsid w:val="003B44A5"/>
    <w:rsid w:val="003B6DEA"/>
    <w:rsid w:val="003B6FD4"/>
    <w:rsid w:val="003C36CB"/>
    <w:rsid w:val="003C5EA7"/>
    <w:rsid w:val="003C707E"/>
    <w:rsid w:val="003C7F86"/>
    <w:rsid w:val="003D04D8"/>
    <w:rsid w:val="003D069D"/>
    <w:rsid w:val="003E5A37"/>
    <w:rsid w:val="003F0E21"/>
    <w:rsid w:val="003F5819"/>
    <w:rsid w:val="00405431"/>
    <w:rsid w:val="0040799C"/>
    <w:rsid w:val="00420795"/>
    <w:rsid w:val="00420F64"/>
    <w:rsid w:val="00425F7B"/>
    <w:rsid w:val="00433508"/>
    <w:rsid w:val="00436C53"/>
    <w:rsid w:val="00455E57"/>
    <w:rsid w:val="00461A91"/>
    <w:rsid w:val="004674A4"/>
    <w:rsid w:val="004705B2"/>
    <w:rsid w:val="00470F3F"/>
    <w:rsid w:val="0048122D"/>
    <w:rsid w:val="00492280"/>
    <w:rsid w:val="004A4A2E"/>
    <w:rsid w:val="004A6125"/>
    <w:rsid w:val="004D0C06"/>
    <w:rsid w:val="004D2460"/>
    <w:rsid w:val="004D4AD9"/>
    <w:rsid w:val="004D6539"/>
    <w:rsid w:val="004F1998"/>
    <w:rsid w:val="004F5701"/>
    <w:rsid w:val="004F7DD8"/>
    <w:rsid w:val="00510316"/>
    <w:rsid w:val="00515DE8"/>
    <w:rsid w:val="0053673F"/>
    <w:rsid w:val="005372E4"/>
    <w:rsid w:val="0054543F"/>
    <w:rsid w:val="005558C2"/>
    <w:rsid w:val="005700AC"/>
    <w:rsid w:val="00585BAA"/>
    <w:rsid w:val="00597B68"/>
    <w:rsid w:val="005B3A12"/>
    <w:rsid w:val="005B55B8"/>
    <w:rsid w:val="005D09C5"/>
    <w:rsid w:val="005D77E8"/>
    <w:rsid w:val="005E04F9"/>
    <w:rsid w:val="005E0635"/>
    <w:rsid w:val="005F2669"/>
    <w:rsid w:val="00617475"/>
    <w:rsid w:val="00622737"/>
    <w:rsid w:val="006278C3"/>
    <w:rsid w:val="006329B5"/>
    <w:rsid w:val="0069389A"/>
    <w:rsid w:val="00696ABD"/>
    <w:rsid w:val="006A10E5"/>
    <w:rsid w:val="006A5F9D"/>
    <w:rsid w:val="006B02E9"/>
    <w:rsid w:val="006B120E"/>
    <w:rsid w:val="006B537D"/>
    <w:rsid w:val="006C68E7"/>
    <w:rsid w:val="006E1935"/>
    <w:rsid w:val="006E4D0B"/>
    <w:rsid w:val="007044ED"/>
    <w:rsid w:val="00707D7C"/>
    <w:rsid w:val="00713CD3"/>
    <w:rsid w:val="0071406C"/>
    <w:rsid w:val="00731619"/>
    <w:rsid w:val="007341B3"/>
    <w:rsid w:val="00742C4D"/>
    <w:rsid w:val="00743B42"/>
    <w:rsid w:val="00747CE9"/>
    <w:rsid w:val="00760441"/>
    <w:rsid w:val="0076701B"/>
    <w:rsid w:val="0077213A"/>
    <w:rsid w:val="00794819"/>
    <w:rsid w:val="007A5B7D"/>
    <w:rsid w:val="007C22CE"/>
    <w:rsid w:val="007F1EC4"/>
    <w:rsid w:val="007F59F6"/>
    <w:rsid w:val="007F5A83"/>
    <w:rsid w:val="00821A1A"/>
    <w:rsid w:val="00825BED"/>
    <w:rsid w:val="00831DBC"/>
    <w:rsid w:val="00832654"/>
    <w:rsid w:val="00837E6C"/>
    <w:rsid w:val="00843676"/>
    <w:rsid w:val="00843CBE"/>
    <w:rsid w:val="00854F2C"/>
    <w:rsid w:val="00871246"/>
    <w:rsid w:val="008738A0"/>
    <w:rsid w:val="00880A96"/>
    <w:rsid w:val="00883EC2"/>
    <w:rsid w:val="008873F1"/>
    <w:rsid w:val="00892C4F"/>
    <w:rsid w:val="00894014"/>
    <w:rsid w:val="008A6447"/>
    <w:rsid w:val="008A7607"/>
    <w:rsid w:val="008C11F1"/>
    <w:rsid w:val="008C2697"/>
    <w:rsid w:val="008C3978"/>
    <w:rsid w:val="008E7AB9"/>
    <w:rsid w:val="008E7FCE"/>
    <w:rsid w:val="008F35DA"/>
    <w:rsid w:val="009000A9"/>
    <w:rsid w:val="00906A94"/>
    <w:rsid w:val="009107FC"/>
    <w:rsid w:val="00920E40"/>
    <w:rsid w:val="009262A2"/>
    <w:rsid w:val="0094133C"/>
    <w:rsid w:val="0097245E"/>
    <w:rsid w:val="00973571"/>
    <w:rsid w:val="00974DD8"/>
    <w:rsid w:val="00982677"/>
    <w:rsid w:val="0098345F"/>
    <w:rsid w:val="00983AA0"/>
    <w:rsid w:val="00995FB7"/>
    <w:rsid w:val="009A3F96"/>
    <w:rsid w:val="009A7E62"/>
    <w:rsid w:val="009B2400"/>
    <w:rsid w:val="009D4FEB"/>
    <w:rsid w:val="009E0A91"/>
    <w:rsid w:val="009E37BB"/>
    <w:rsid w:val="009E7528"/>
    <w:rsid w:val="009E7ACB"/>
    <w:rsid w:val="00A00CBB"/>
    <w:rsid w:val="00A14E14"/>
    <w:rsid w:val="00A1636B"/>
    <w:rsid w:val="00A16C1F"/>
    <w:rsid w:val="00A20D49"/>
    <w:rsid w:val="00A31867"/>
    <w:rsid w:val="00A32EBC"/>
    <w:rsid w:val="00A407C6"/>
    <w:rsid w:val="00A40CD5"/>
    <w:rsid w:val="00A42139"/>
    <w:rsid w:val="00A458D7"/>
    <w:rsid w:val="00A46181"/>
    <w:rsid w:val="00A4766A"/>
    <w:rsid w:val="00A503C9"/>
    <w:rsid w:val="00A57211"/>
    <w:rsid w:val="00A601AB"/>
    <w:rsid w:val="00A7775A"/>
    <w:rsid w:val="00A809A8"/>
    <w:rsid w:val="00A97C17"/>
    <w:rsid w:val="00AA49D9"/>
    <w:rsid w:val="00AA6B93"/>
    <w:rsid w:val="00AB5590"/>
    <w:rsid w:val="00AB6C3F"/>
    <w:rsid w:val="00AC0491"/>
    <w:rsid w:val="00AD2759"/>
    <w:rsid w:val="00AD73AB"/>
    <w:rsid w:val="00AF4033"/>
    <w:rsid w:val="00B01280"/>
    <w:rsid w:val="00B15BA9"/>
    <w:rsid w:val="00B23A74"/>
    <w:rsid w:val="00B34491"/>
    <w:rsid w:val="00B34934"/>
    <w:rsid w:val="00B43271"/>
    <w:rsid w:val="00B62C26"/>
    <w:rsid w:val="00B7171A"/>
    <w:rsid w:val="00B80FA2"/>
    <w:rsid w:val="00B84A6E"/>
    <w:rsid w:val="00B920EA"/>
    <w:rsid w:val="00B95425"/>
    <w:rsid w:val="00BB1E63"/>
    <w:rsid w:val="00BB51BB"/>
    <w:rsid w:val="00BC3736"/>
    <w:rsid w:val="00BC3BB1"/>
    <w:rsid w:val="00BE1FB9"/>
    <w:rsid w:val="00BE516C"/>
    <w:rsid w:val="00C05DDB"/>
    <w:rsid w:val="00C10569"/>
    <w:rsid w:val="00C15C60"/>
    <w:rsid w:val="00C15C6C"/>
    <w:rsid w:val="00C17DAB"/>
    <w:rsid w:val="00C21557"/>
    <w:rsid w:val="00C247A1"/>
    <w:rsid w:val="00C26F0B"/>
    <w:rsid w:val="00C30E6E"/>
    <w:rsid w:val="00C47434"/>
    <w:rsid w:val="00C47E41"/>
    <w:rsid w:val="00C53B15"/>
    <w:rsid w:val="00C53FD4"/>
    <w:rsid w:val="00C62C09"/>
    <w:rsid w:val="00C74F21"/>
    <w:rsid w:val="00C82626"/>
    <w:rsid w:val="00C8401F"/>
    <w:rsid w:val="00CA4169"/>
    <w:rsid w:val="00CB2FFB"/>
    <w:rsid w:val="00CC0D1A"/>
    <w:rsid w:val="00CC1F44"/>
    <w:rsid w:val="00CC2739"/>
    <w:rsid w:val="00CD5D84"/>
    <w:rsid w:val="00CF7143"/>
    <w:rsid w:val="00D1227D"/>
    <w:rsid w:val="00D12C88"/>
    <w:rsid w:val="00D13439"/>
    <w:rsid w:val="00D51D24"/>
    <w:rsid w:val="00D5438E"/>
    <w:rsid w:val="00D62664"/>
    <w:rsid w:val="00D67CFA"/>
    <w:rsid w:val="00D722F5"/>
    <w:rsid w:val="00D7261A"/>
    <w:rsid w:val="00D9539C"/>
    <w:rsid w:val="00D9550B"/>
    <w:rsid w:val="00DA35CE"/>
    <w:rsid w:val="00DA50B2"/>
    <w:rsid w:val="00DA6727"/>
    <w:rsid w:val="00DA6BB5"/>
    <w:rsid w:val="00DB284D"/>
    <w:rsid w:val="00DB3261"/>
    <w:rsid w:val="00DC5211"/>
    <w:rsid w:val="00DF587E"/>
    <w:rsid w:val="00E07714"/>
    <w:rsid w:val="00E21408"/>
    <w:rsid w:val="00E264CA"/>
    <w:rsid w:val="00E333A5"/>
    <w:rsid w:val="00E50E56"/>
    <w:rsid w:val="00E51748"/>
    <w:rsid w:val="00E551BD"/>
    <w:rsid w:val="00E565FB"/>
    <w:rsid w:val="00E57C81"/>
    <w:rsid w:val="00E62626"/>
    <w:rsid w:val="00E62DAF"/>
    <w:rsid w:val="00E76474"/>
    <w:rsid w:val="00E80C6E"/>
    <w:rsid w:val="00E84C67"/>
    <w:rsid w:val="00E863BA"/>
    <w:rsid w:val="00E872B2"/>
    <w:rsid w:val="00E941A8"/>
    <w:rsid w:val="00EC48AE"/>
    <w:rsid w:val="00EC5926"/>
    <w:rsid w:val="00ED0036"/>
    <w:rsid w:val="00ED01E1"/>
    <w:rsid w:val="00ED1507"/>
    <w:rsid w:val="00ED2014"/>
    <w:rsid w:val="00ED4443"/>
    <w:rsid w:val="00EE5FAD"/>
    <w:rsid w:val="00EF110D"/>
    <w:rsid w:val="00EF6C7B"/>
    <w:rsid w:val="00F035C0"/>
    <w:rsid w:val="00F064B2"/>
    <w:rsid w:val="00F119C4"/>
    <w:rsid w:val="00F2023A"/>
    <w:rsid w:val="00F32C84"/>
    <w:rsid w:val="00F35A81"/>
    <w:rsid w:val="00F36E2C"/>
    <w:rsid w:val="00F61558"/>
    <w:rsid w:val="00F65CB9"/>
    <w:rsid w:val="00F756E9"/>
    <w:rsid w:val="00F82EAA"/>
    <w:rsid w:val="00F840F6"/>
    <w:rsid w:val="00F841BB"/>
    <w:rsid w:val="00F85BBA"/>
    <w:rsid w:val="00F92AF2"/>
    <w:rsid w:val="00FA32A6"/>
    <w:rsid w:val="00FA5F31"/>
    <w:rsid w:val="00FA6BEB"/>
    <w:rsid w:val="00FA772C"/>
    <w:rsid w:val="00FB08C1"/>
    <w:rsid w:val="00FB68F4"/>
    <w:rsid w:val="00FC1A0F"/>
    <w:rsid w:val="00FC4BB6"/>
    <w:rsid w:val="00FD0294"/>
    <w:rsid w:val="00FD2813"/>
    <w:rsid w:val="00FD5EA6"/>
    <w:rsid w:val="00FF1403"/>
    <w:rsid w:val="00FF16F0"/>
    <w:rsid w:val="00FF43AC"/>
    <w:rsid w:val="00FF55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B8F5"/>
  <w15:docId w15:val="{CD8B0E08-F085-4483-AEBC-EB7BC94A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0DA"/>
    <w:pPr>
      <w:ind w:left="720"/>
      <w:contextualSpacing/>
    </w:pPr>
  </w:style>
  <w:style w:type="character" w:styleId="Hyperlink">
    <w:name w:val="Hyperlink"/>
    <w:basedOn w:val="DefaultParagraphFont"/>
    <w:uiPriority w:val="99"/>
    <w:unhideWhenUsed/>
    <w:rsid w:val="00F064B2"/>
    <w:rPr>
      <w:color w:val="0000FF"/>
      <w:u w:val="single"/>
    </w:rPr>
  </w:style>
  <w:style w:type="character" w:styleId="FollowedHyperlink">
    <w:name w:val="FollowedHyperlink"/>
    <w:basedOn w:val="DefaultParagraphFont"/>
    <w:uiPriority w:val="99"/>
    <w:semiHidden/>
    <w:unhideWhenUsed/>
    <w:rsid w:val="003922EA"/>
    <w:rPr>
      <w:color w:val="800080" w:themeColor="followedHyperlink"/>
      <w:u w:val="single"/>
    </w:rPr>
  </w:style>
  <w:style w:type="character" w:styleId="UnresolvedMention">
    <w:name w:val="Unresolved Mention"/>
    <w:basedOn w:val="DefaultParagraphFont"/>
    <w:uiPriority w:val="99"/>
    <w:semiHidden/>
    <w:unhideWhenUsed/>
    <w:rsid w:val="003B1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8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indsor.ca/humanresources/faculty-staff/pensions/facultyemployee-plan/facultyemployee-plan-open-pension-meeting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CD3207774CE4AB477105F800D7C54" ma:contentTypeVersion="18" ma:contentTypeDescription="Create a new document." ma:contentTypeScope="" ma:versionID="03ba7a0eb578af8483be91266f6c321b">
  <xsd:schema xmlns:xsd="http://www.w3.org/2001/XMLSchema" xmlns:xs="http://www.w3.org/2001/XMLSchema" xmlns:p="http://schemas.microsoft.com/office/2006/metadata/properties" xmlns:ns2="568e816e-c687-41a3-84f7-0f8bc848e2f8" xmlns:ns3="d7ace888-3a63-4232-a145-fdfce763d1c8" targetNamespace="http://schemas.microsoft.com/office/2006/metadata/properties" ma:root="true" ma:fieldsID="05932e563fc88dff53dc57ad15967356" ns2:_="" ns3:_="">
    <xsd:import namespace="568e816e-c687-41a3-84f7-0f8bc848e2f8"/>
    <xsd:import namespace="d7ace888-3a63-4232-a145-fdfce763d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e816e-c687-41a3-84f7-0f8bc848e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ce888-3a63-4232-a145-fdfce763d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ccc63-8520-4cb7-af9f-ce1151bfa213}" ma:internalName="TaxCatchAll" ma:showField="CatchAllData" ma:web="d7ace888-3a63-4232-a145-fdfce763d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ace888-3a63-4232-a145-fdfce763d1c8" xsi:nil="true"/>
    <lcf76f155ced4ddcb4097134ff3c332f xmlns="568e816e-c687-41a3-84f7-0f8bc848e2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7FE27-5E56-4527-9BA7-A5BADF920269}">
  <ds:schemaRefs>
    <ds:schemaRef ds:uri="http://schemas.microsoft.com/sharepoint/v3/contenttype/forms"/>
  </ds:schemaRefs>
</ds:datastoreItem>
</file>

<file path=customXml/itemProps2.xml><?xml version="1.0" encoding="utf-8"?>
<ds:datastoreItem xmlns:ds="http://schemas.openxmlformats.org/officeDocument/2006/customXml" ds:itemID="{0A5C019D-7B80-4BF5-83DE-BF6F4E0A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e816e-c687-41a3-84f7-0f8bc848e2f8"/>
    <ds:schemaRef ds:uri="d7ace888-3a63-4232-a145-fdfce763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2769-2F58-4F80-B170-DD106E7CE610}">
  <ds:schemaRefs>
    <ds:schemaRef ds:uri="http://schemas.microsoft.com/office/2006/metadata/properties"/>
    <ds:schemaRef ds:uri="http://schemas.microsoft.com/office/infopath/2007/PartnerControls"/>
    <ds:schemaRef ds:uri="d7ace888-3a63-4232-a145-fdfce763d1c8"/>
    <ds:schemaRef ds:uri="568e816e-c687-41a3-84f7-0f8bc848e2f8"/>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Mitali Tailor</cp:lastModifiedBy>
  <cp:revision>106</cp:revision>
  <dcterms:created xsi:type="dcterms:W3CDTF">2023-11-13T19:42:00Z</dcterms:created>
  <dcterms:modified xsi:type="dcterms:W3CDTF">2024-11-29T18:54:00Z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0x010100F53CD3207774CE4AB477105F800D7C54</vt:lpwstr>
  </property>
  <property fmtid="{D5CDD505-2E9C-101B-9397-08002B2CF9AE}" pid="3" name="MediaServiceImageTags">
    <vt:lpwstr/>
  </property>
</Properties>
</file>